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13C6D" w14:textId="77777777" w:rsidR="00675B21" w:rsidRDefault="00675B21">
      <w:pPr>
        <w:pStyle w:val="IFACListStyle1"/>
        <w:tabs>
          <w:tab w:val="clear" w:pos="547"/>
        </w:tabs>
        <w:spacing w:line="240" w:lineRule="auto"/>
        <w:jc w:val="right"/>
        <w:rPr>
          <w:rStyle w:val="Teksttreci2"/>
          <w:rFonts w:eastAsia="Tahoma"/>
          <w:bCs/>
          <w:sz w:val="24"/>
          <w:szCs w:val="24"/>
        </w:rPr>
      </w:pPr>
    </w:p>
    <w:p w14:paraId="50238A3D" w14:textId="77777777" w:rsidR="00675B21" w:rsidRDefault="00675B21">
      <w:pPr>
        <w:pStyle w:val="IFACListStyle1"/>
        <w:tabs>
          <w:tab w:val="clear" w:pos="547"/>
        </w:tabs>
        <w:spacing w:line="240" w:lineRule="auto"/>
        <w:jc w:val="right"/>
        <w:rPr>
          <w:rStyle w:val="Teksttreci2"/>
          <w:rFonts w:eastAsia="Tahoma"/>
          <w:bCs/>
          <w:sz w:val="24"/>
          <w:szCs w:val="24"/>
        </w:rPr>
      </w:pPr>
    </w:p>
    <w:p w14:paraId="3AFF22BA" w14:textId="425BA05B" w:rsidR="0099206D" w:rsidRPr="00C501BE" w:rsidRDefault="00FD00E8">
      <w:pPr>
        <w:pStyle w:val="IFACListStyle1"/>
        <w:tabs>
          <w:tab w:val="clear" w:pos="547"/>
        </w:tabs>
        <w:spacing w:line="240" w:lineRule="auto"/>
        <w:jc w:val="right"/>
        <w:rPr>
          <w:rStyle w:val="Teksttreci2"/>
          <w:rFonts w:eastAsia="Tahoma"/>
          <w:bCs/>
          <w:kern w:val="0"/>
          <w:sz w:val="22"/>
          <w:szCs w:val="22"/>
        </w:rPr>
      </w:pPr>
      <w:r w:rsidRPr="00C501BE">
        <w:rPr>
          <w:rStyle w:val="Teksttreci2"/>
          <w:rFonts w:eastAsia="Tahoma"/>
          <w:bCs/>
          <w:sz w:val="22"/>
          <w:szCs w:val="22"/>
        </w:rPr>
        <w:t xml:space="preserve">Warszawa, </w:t>
      </w:r>
      <w:r w:rsidRPr="00594F70">
        <w:rPr>
          <w:rStyle w:val="Teksttreci2"/>
          <w:rFonts w:eastAsia="Tahoma"/>
          <w:bCs/>
          <w:sz w:val="22"/>
          <w:szCs w:val="22"/>
        </w:rPr>
        <w:t>27</w:t>
      </w:r>
      <w:r w:rsidRPr="00C501BE">
        <w:rPr>
          <w:rStyle w:val="Teksttreci2"/>
          <w:rFonts w:eastAsia="Tahoma"/>
          <w:bCs/>
          <w:sz w:val="22"/>
          <w:szCs w:val="22"/>
        </w:rPr>
        <w:t xml:space="preserve"> października 2023 r.</w:t>
      </w:r>
    </w:p>
    <w:p w14:paraId="68E413B5" w14:textId="77777777" w:rsidR="0099206D" w:rsidRDefault="0099206D">
      <w:pPr>
        <w:pStyle w:val="IFACListStyle1"/>
        <w:tabs>
          <w:tab w:val="clear" w:pos="547"/>
        </w:tabs>
        <w:spacing w:line="240" w:lineRule="auto"/>
        <w:jc w:val="right"/>
        <w:rPr>
          <w:rStyle w:val="Teksttreci2"/>
          <w:rFonts w:eastAsia="Tahoma"/>
          <w:bCs/>
          <w:sz w:val="24"/>
          <w:szCs w:val="24"/>
        </w:rPr>
      </w:pPr>
    </w:p>
    <w:p w14:paraId="10D4F44D" w14:textId="77777777" w:rsidR="0099206D" w:rsidRDefault="0099206D">
      <w:pPr>
        <w:pStyle w:val="IFACListStyle1"/>
        <w:tabs>
          <w:tab w:val="clear" w:pos="547"/>
        </w:tabs>
        <w:spacing w:line="240" w:lineRule="auto"/>
        <w:jc w:val="right"/>
        <w:rPr>
          <w:rStyle w:val="Teksttreci2"/>
          <w:rFonts w:eastAsia="Tahoma"/>
          <w:bCs/>
          <w:sz w:val="24"/>
          <w:szCs w:val="24"/>
        </w:rPr>
      </w:pPr>
    </w:p>
    <w:p w14:paraId="54ACF6E0" w14:textId="77777777" w:rsidR="0099206D" w:rsidRPr="00D514E0" w:rsidRDefault="00FD00E8">
      <w:pPr>
        <w:pStyle w:val="IFACListStyle1"/>
        <w:tabs>
          <w:tab w:val="clear" w:pos="547"/>
        </w:tabs>
        <w:spacing w:line="240" w:lineRule="auto"/>
        <w:jc w:val="center"/>
        <w:rPr>
          <w:rFonts w:ascii="Times New Roman" w:eastAsia="Tahoma" w:hAnsi="Times New Roman"/>
          <w:b/>
          <w:bCs/>
          <w:color w:val="000000"/>
          <w:sz w:val="32"/>
          <w:szCs w:val="32"/>
          <w:lang w:val="pl-PL" w:eastAsia="pl-PL" w:bidi="pl-PL"/>
        </w:rPr>
      </w:pPr>
      <w:r w:rsidRPr="00D514E0">
        <w:rPr>
          <w:rFonts w:ascii="Times New Roman" w:eastAsia="Tahoma" w:hAnsi="Times New Roman"/>
          <w:b/>
          <w:bCs/>
          <w:color w:val="000000"/>
          <w:sz w:val="32"/>
          <w:szCs w:val="32"/>
          <w:lang w:val="pl-PL" w:eastAsia="pl-PL" w:bidi="pl-PL"/>
        </w:rPr>
        <w:t>Wskazówki dla biegłych rewidentów dotyczące wykonania usług atestacyjnych – rekompensaty</w:t>
      </w:r>
    </w:p>
    <w:p w14:paraId="0A87E577" w14:textId="77777777" w:rsidR="0099206D" w:rsidRDefault="0099206D">
      <w:pPr>
        <w:pStyle w:val="IFACListStyle1"/>
        <w:tabs>
          <w:tab w:val="clear" w:pos="547"/>
        </w:tabs>
        <w:spacing w:line="240" w:lineRule="auto"/>
        <w:jc w:val="center"/>
        <w:rPr>
          <w:rStyle w:val="Teksttreci2"/>
          <w:rFonts w:eastAsia="Tahoma"/>
          <w:b/>
          <w:bCs/>
          <w:sz w:val="24"/>
          <w:szCs w:val="24"/>
        </w:rPr>
      </w:pPr>
    </w:p>
    <w:p w14:paraId="1A7AC3E6" w14:textId="77777777" w:rsidR="0099206D" w:rsidRDefault="00FD00E8">
      <w:pPr>
        <w:pStyle w:val="IFACListStyle1"/>
        <w:numPr>
          <w:ilvl w:val="0"/>
          <w:numId w:val="1"/>
        </w:numPr>
        <w:tabs>
          <w:tab w:val="clear" w:pos="547"/>
        </w:tabs>
        <w:spacing w:line="240" w:lineRule="auto"/>
        <w:ind w:left="567" w:hanging="567"/>
        <w:rPr>
          <w:rFonts w:ascii="Times New Roman" w:eastAsia="Tahoma" w:hAnsi="Times New Roman"/>
          <w:b/>
          <w:bCs/>
          <w:iCs/>
          <w:color w:val="000000"/>
          <w:sz w:val="22"/>
          <w:szCs w:val="22"/>
          <w:lang w:val="pl-PL" w:eastAsia="pl-PL" w:bidi="pl-PL"/>
        </w:rPr>
      </w:pPr>
      <w:r>
        <w:rPr>
          <w:rFonts w:ascii="Times New Roman" w:eastAsia="Tahoma" w:hAnsi="Times New Roman"/>
          <w:b/>
          <w:bCs/>
          <w:iCs/>
          <w:color w:val="000000"/>
          <w:sz w:val="22"/>
          <w:szCs w:val="22"/>
          <w:lang w:val="pl-PL" w:eastAsia="pl-PL" w:bidi="pl-PL"/>
        </w:rPr>
        <w:t>WPROWADZENIE</w:t>
      </w:r>
      <w:r>
        <w:rPr>
          <w:rFonts w:ascii="Times New Roman" w:eastAsia="Tahoma" w:hAnsi="Times New Roman"/>
          <w:b/>
          <w:bCs/>
          <w:iCs/>
          <w:color w:val="000000"/>
          <w:sz w:val="22"/>
          <w:szCs w:val="22"/>
          <w:lang w:val="pl-PL" w:eastAsia="pl-PL" w:bidi="pl-PL"/>
        </w:rPr>
        <w:tab/>
      </w:r>
    </w:p>
    <w:p w14:paraId="72BA14D6" w14:textId="6CF2CDA3" w:rsidR="0099206D" w:rsidRDefault="00FD00E8">
      <w:pPr>
        <w:pStyle w:val="IFACListStyle1"/>
        <w:spacing w:line="240" w:lineRule="auto"/>
        <w:rPr>
          <w:rFonts w:ascii="Times New Roman" w:eastAsia="Tahoma" w:hAnsi="Times New Roman"/>
          <w:sz w:val="22"/>
          <w:szCs w:val="22"/>
          <w:lang w:val="pl-PL" w:eastAsia="pl-PL" w:bidi="pl-PL"/>
        </w:rPr>
      </w:pPr>
      <w:r>
        <w:rPr>
          <w:rStyle w:val="Teksttreci2"/>
          <w:rFonts w:eastAsia="Tahoma"/>
          <w:color w:val="auto"/>
          <w:sz w:val="22"/>
          <w:szCs w:val="22"/>
        </w:rPr>
        <w:t xml:space="preserve">Niniejsze </w:t>
      </w:r>
      <w:r>
        <w:rPr>
          <w:rFonts w:ascii="Times New Roman" w:eastAsia="Tahoma" w:hAnsi="Times New Roman"/>
          <w:sz w:val="22"/>
          <w:szCs w:val="22"/>
          <w:lang w:val="pl-PL" w:eastAsia="pl-PL" w:bidi="pl-PL"/>
        </w:rPr>
        <w:t xml:space="preserve">wskazówki dla biegłych rewidentów dotyczą usług atestacyjnych związanych z rządowym programem pod nazwą </w:t>
      </w:r>
      <w:r>
        <w:rPr>
          <w:rFonts w:ascii="Times New Roman" w:eastAsia="Tahoma" w:hAnsi="Times New Roman"/>
          <w:sz w:val="22"/>
          <w:szCs w:val="22"/>
          <w:lang w:val="pl-PL"/>
        </w:rPr>
        <w:t>„Pomoc dla przemysłu energochłonnego związana z cenami gazu ziemnego i</w:t>
      </w:r>
      <w:r w:rsidR="00363463">
        <w:rPr>
          <w:rFonts w:ascii="Times New Roman" w:eastAsia="Tahoma" w:hAnsi="Times New Roman"/>
          <w:sz w:val="22"/>
          <w:szCs w:val="22"/>
          <w:lang w:val="pl-PL"/>
        </w:rPr>
        <w:t> </w:t>
      </w:r>
      <w:r>
        <w:rPr>
          <w:rFonts w:ascii="Times New Roman" w:eastAsia="Tahoma" w:hAnsi="Times New Roman"/>
          <w:sz w:val="22"/>
          <w:szCs w:val="22"/>
          <w:lang w:val="pl-PL"/>
        </w:rPr>
        <w:t xml:space="preserve">energii elektrycznej w 2023 r.” </w:t>
      </w:r>
      <w:r>
        <w:rPr>
          <w:rStyle w:val="Odwoanieprzypisudolnego"/>
          <w:rFonts w:ascii="Times New Roman" w:eastAsia="Tahoma" w:hAnsi="Times New Roman"/>
          <w:sz w:val="22"/>
          <w:szCs w:val="22"/>
          <w:lang w:val="pl-PL" w:eastAsia="pl-PL" w:bidi="pl-PL"/>
        </w:rPr>
        <w:footnoteReference w:id="1"/>
      </w:r>
      <w:r>
        <w:rPr>
          <w:rFonts w:ascii="Times New Roman" w:eastAsia="Tahoma" w:hAnsi="Times New Roman"/>
          <w:sz w:val="22"/>
          <w:szCs w:val="22"/>
          <w:lang w:val="pl-PL" w:eastAsia="pl-PL" w:bidi="pl-PL"/>
        </w:rPr>
        <w:t xml:space="preserve"> będącym załącznikiem do uchwały nr 141/2023 Rady Ministrów z</w:t>
      </w:r>
      <w:r w:rsidR="00363463">
        <w:rPr>
          <w:rFonts w:ascii="Times New Roman" w:eastAsia="Tahoma" w:hAnsi="Times New Roman"/>
          <w:sz w:val="22"/>
          <w:szCs w:val="22"/>
          <w:lang w:val="pl-PL" w:eastAsia="pl-PL" w:bidi="pl-PL"/>
        </w:rPr>
        <w:t> </w:t>
      </w:r>
      <w:r>
        <w:rPr>
          <w:rFonts w:ascii="Times New Roman" w:eastAsia="Tahoma" w:hAnsi="Times New Roman"/>
          <w:sz w:val="22"/>
          <w:szCs w:val="22"/>
          <w:lang w:val="pl-PL" w:eastAsia="pl-PL" w:bidi="pl-PL"/>
        </w:rPr>
        <w:t>dnia 8 sierpnia 2023 r. w brzmieniu zmienionym uchwałą nr 190/2023 Rady Ministrów z dnia 13 października 2023 r. („</w:t>
      </w:r>
      <w:r>
        <w:rPr>
          <w:rFonts w:ascii="Times New Roman" w:eastAsia="Tahoma" w:hAnsi="Times New Roman"/>
          <w:b/>
          <w:bCs/>
          <w:sz w:val="22"/>
          <w:szCs w:val="22"/>
          <w:lang w:val="pl-PL" w:eastAsia="pl-PL" w:bidi="pl-PL"/>
        </w:rPr>
        <w:t>Program</w:t>
      </w:r>
      <w:r>
        <w:rPr>
          <w:rFonts w:ascii="Times New Roman" w:eastAsia="Tahoma" w:hAnsi="Times New Roman"/>
          <w:sz w:val="22"/>
          <w:szCs w:val="22"/>
          <w:lang w:val="pl-PL" w:eastAsia="pl-PL" w:bidi="pl-PL"/>
        </w:rPr>
        <w:t>”).</w:t>
      </w:r>
    </w:p>
    <w:p w14:paraId="67BE3E1D" w14:textId="50AFE15D"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 xml:space="preserve">Wskazówki </w:t>
      </w:r>
      <w:bookmarkStart w:id="0" w:name="_Hlk130398255"/>
      <w:r>
        <w:rPr>
          <w:rStyle w:val="Teksttreci2"/>
          <w:rFonts w:eastAsia="Tahoma"/>
          <w:color w:val="auto"/>
          <w:sz w:val="22"/>
          <w:szCs w:val="22"/>
        </w:rPr>
        <w:t>zawierają przykładowe procedury atestacji, które należy dostosować do okoliczności danego zlecenia oraz do stopnia zaawansowania badania sprawozdania finansowego przez biegłego rewidenta, przy założeniu, że usługę atestacji realizuje ten sam biegły rewident, który został wybrany do badania rocznego sprawozdania finansowego, na który przypada cały lub część okresu wnioskowanego lub kwalifikowanego przez jednostkę uprawnioną do otrzymania pomocy, zwanej dalej „</w:t>
      </w:r>
      <w:r>
        <w:rPr>
          <w:rStyle w:val="Teksttreci2"/>
          <w:rFonts w:eastAsia="Tahoma"/>
          <w:b/>
          <w:bCs/>
          <w:color w:val="auto"/>
          <w:sz w:val="22"/>
          <w:szCs w:val="22"/>
        </w:rPr>
        <w:t>Beneficjentem</w:t>
      </w:r>
      <w:r>
        <w:rPr>
          <w:rStyle w:val="Teksttreci2"/>
          <w:rFonts w:eastAsia="Tahoma"/>
          <w:color w:val="auto"/>
          <w:sz w:val="22"/>
          <w:szCs w:val="22"/>
        </w:rPr>
        <w:t>” lub „</w:t>
      </w:r>
      <w:r>
        <w:rPr>
          <w:rStyle w:val="Teksttreci2"/>
          <w:rFonts w:eastAsia="Tahoma"/>
          <w:b/>
          <w:bCs/>
          <w:color w:val="auto"/>
          <w:sz w:val="22"/>
          <w:szCs w:val="22"/>
        </w:rPr>
        <w:t>Wnioskodawcą</w:t>
      </w:r>
      <w:r>
        <w:rPr>
          <w:rStyle w:val="Teksttreci2"/>
          <w:rFonts w:eastAsia="Tahoma"/>
          <w:color w:val="auto"/>
          <w:sz w:val="22"/>
          <w:szCs w:val="22"/>
        </w:rPr>
        <w:t>”.</w:t>
      </w:r>
    </w:p>
    <w:bookmarkEnd w:id="0"/>
    <w:p w14:paraId="0861DFCA" w14:textId="77777777" w:rsidR="0099206D" w:rsidRDefault="0099206D">
      <w:pPr>
        <w:pStyle w:val="IFACListStyle1"/>
        <w:tabs>
          <w:tab w:val="clear" w:pos="547"/>
        </w:tabs>
        <w:spacing w:line="240" w:lineRule="auto"/>
        <w:ind w:left="567"/>
        <w:rPr>
          <w:rFonts w:ascii="Times New Roman" w:eastAsia="Tahoma" w:hAnsi="Times New Roman"/>
          <w:b/>
          <w:bCs/>
          <w:color w:val="000000"/>
          <w:sz w:val="22"/>
          <w:szCs w:val="22"/>
          <w:lang w:val="pl-PL" w:eastAsia="pl-PL" w:bidi="pl-PL"/>
        </w:rPr>
      </w:pPr>
    </w:p>
    <w:p w14:paraId="2DD30886" w14:textId="77777777" w:rsidR="0099206D" w:rsidRDefault="00FD00E8">
      <w:pPr>
        <w:pStyle w:val="IFACListStyle1"/>
        <w:numPr>
          <w:ilvl w:val="0"/>
          <w:numId w:val="1"/>
        </w:numPr>
        <w:tabs>
          <w:tab w:val="clear" w:pos="547"/>
        </w:tabs>
        <w:spacing w:line="240" w:lineRule="auto"/>
        <w:ind w:left="567" w:hanging="567"/>
        <w:rPr>
          <w:rFonts w:ascii="Times New Roman" w:eastAsia="Tahoma" w:hAnsi="Times New Roman"/>
          <w:b/>
          <w:bCs/>
          <w:color w:val="000000"/>
          <w:sz w:val="22"/>
          <w:szCs w:val="22"/>
          <w:lang w:val="pl-PL" w:eastAsia="pl-PL" w:bidi="pl-PL"/>
        </w:rPr>
      </w:pPr>
      <w:r>
        <w:rPr>
          <w:rFonts w:ascii="Times New Roman" w:eastAsia="Tahoma" w:hAnsi="Times New Roman"/>
          <w:b/>
          <w:bCs/>
          <w:color w:val="000000"/>
          <w:sz w:val="22"/>
          <w:szCs w:val="22"/>
          <w:lang w:val="pl-PL" w:eastAsia="pl-PL" w:bidi="pl-PL"/>
        </w:rPr>
        <w:t>INFORMACJE OGÓLNE O PROGRAMIE I POWIĄZANYCH USŁUGACH BIEGŁEGO REWIDENTA</w:t>
      </w:r>
    </w:p>
    <w:p w14:paraId="13FAC2BE" w14:textId="77777777" w:rsidR="0099206D" w:rsidRDefault="00FD00E8">
      <w:pPr>
        <w:pStyle w:val="IFACListStyle1"/>
        <w:numPr>
          <w:ilvl w:val="0"/>
          <w:numId w:val="23"/>
        </w:numPr>
        <w:tabs>
          <w:tab w:val="clear" w:pos="547"/>
        </w:tabs>
        <w:spacing w:line="240" w:lineRule="auto"/>
        <w:ind w:left="426" w:hanging="426"/>
        <w:rPr>
          <w:rFonts w:ascii="Times New Roman" w:eastAsia="Tahoma" w:hAnsi="Times New Roman"/>
          <w:b/>
          <w:bCs/>
          <w:color w:val="000000"/>
          <w:sz w:val="22"/>
          <w:szCs w:val="22"/>
          <w:lang w:val="pl-PL" w:eastAsia="pl-PL" w:bidi="pl-PL"/>
        </w:rPr>
      </w:pPr>
      <w:r>
        <w:rPr>
          <w:rFonts w:ascii="Times New Roman" w:eastAsia="Tahoma" w:hAnsi="Times New Roman"/>
          <w:b/>
          <w:bCs/>
          <w:color w:val="000000"/>
          <w:sz w:val="22"/>
          <w:szCs w:val="22"/>
          <w:lang w:val="pl-PL" w:eastAsia="pl-PL" w:bidi="pl-PL"/>
        </w:rPr>
        <w:t>Wnioskowanie o udzielenie pomocy publicznej</w:t>
      </w:r>
    </w:p>
    <w:p w14:paraId="160DA022"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Program przewiduje udzielenie Beneficjentom pomocy związanej z nagłymi wzrostami ceny gazu ziemnego i energii elektrycznej. Wnioskodawca może otrzymać jedną z poniższych:</w:t>
      </w:r>
    </w:p>
    <w:p w14:paraId="23C4F92B" w14:textId="77777777" w:rsidR="0099206D" w:rsidRDefault="00FD00E8" w:rsidP="00C501BE">
      <w:pPr>
        <w:pStyle w:val="IFACListStyle1"/>
        <w:numPr>
          <w:ilvl w:val="0"/>
          <w:numId w:val="13"/>
        </w:numPr>
        <w:tabs>
          <w:tab w:val="clear" w:pos="547"/>
        </w:tabs>
        <w:spacing w:line="240" w:lineRule="auto"/>
        <w:ind w:left="284" w:hanging="284"/>
        <w:rPr>
          <w:rStyle w:val="Teksttreci2"/>
          <w:rFonts w:eastAsia="Tahoma"/>
          <w:color w:val="auto"/>
          <w:kern w:val="0"/>
          <w:sz w:val="22"/>
          <w:szCs w:val="22"/>
        </w:rPr>
      </w:pPr>
      <w:r>
        <w:rPr>
          <w:rStyle w:val="Teksttreci2"/>
          <w:rFonts w:eastAsia="Tahoma"/>
          <w:b/>
          <w:bCs/>
          <w:color w:val="auto"/>
          <w:sz w:val="22"/>
          <w:szCs w:val="22"/>
        </w:rPr>
        <w:t>pomoc podstawową</w:t>
      </w:r>
      <w:r>
        <w:rPr>
          <w:rStyle w:val="Teksttreci2"/>
          <w:rFonts w:eastAsia="Tahoma"/>
          <w:color w:val="auto"/>
          <w:sz w:val="22"/>
          <w:szCs w:val="22"/>
        </w:rPr>
        <w:t xml:space="preserve"> udzielaną w formie refundacji,</w:t>
      </w:r>
    </w:p>
    <w:p w14:paraId="56979EAB" w14:textId="77777777" w:rsidR="0099206D" w:rsidRDefault="00FD00E8" w:rsidP="00C501BE">
      <w:pPr>
        <w:pStyle w:val="IFACListStyle1"/>
        <w:numPr>
          <w:ilvl w:val="0"/>
          <w:numId w:val="13"/>
        </w:numPr>
        <w:tabs>
          <w:tab w:val="clear" w:pos="547"/>
        </w:tabs>
        <w:spacing w:line="240" w:lineRule="auto"/>
        <w:ind w:left="284" w:hanging="284"/>
        <w:rPr>
          <w:rStyle w:val="Teksttreci2"/>
          <w:rFonts w:eastAsia="Tahoma"/>
          <w:color w:val="auto"/>
          <w:kern w:val="0"/>
          <w:sz w:val="22"/>
          <w:szCs w:val="22"/>
        </w:rPr>
      </w:pPr>
      <w:r>
        <w:rPr>
          <w:rStyle w:val="Teksttreci2"/>
          <w:rFonts w:eastAsia="Tahoma"/>
          <w:b/>
          <w:bCs/>
          <w:color w:val="auto"/>
          <w:sz w:val="22"/>
          <w:szCs w:val="22"/>
        </w:rPr>
        <w:t>pomoc zwiększoną</w:t>
      </w:r>
      <w:r>
        <w:rPr>
          <w:rStyle w:val="Teksttreci2"/>
          <w:rFonts w:eastAsia="Tahoma"/>
          <w:color w:val="auto"/>
          <w:sz w:val="22"/>
          <w:szCs w:val="22"/>
        </w:rPr>
        <w:t xml:space="preserve"> udzielaną w formie zaliczki.</w:t>
      </w:r>
    </w:p>
    <w:p w14:paraId="11AEDADE" w14:textId="77777777" w:rsidR="0099206D" w:rsidRDefault="00FD00E8">
      <w:pPr>
        <w:pStyle w:val="IFACListStyle1"/>
        <w:spacing w:after="240" w:line="240" w:lineRule="auto"/>
        <w:rPr>
          <w:rStyle w:val="Teksttreci2"/>
          <w:rFonts w:eastAsia="Tahoma"/>
          <w:color w:val="auto"/>
          <w:kern w:val="0"/>
          <w:sz w:val="22"/>
          <w:szCs w:val="22"/>
        </w:rPr>
      </w:pPr>
      <w:r>
        <w:rPr>
          <w:rStyle w:val="Teksttreci2"/>
          <w:rFonts w:eastAsia="Tahoma"/>
          <w:color w:val="auto"/>
          <w:sz w:val="22"/>
          <w:szCs w:val="22"/>
        </w:rPr>
        <w:t xml:space="preserve">Okres od dnia 1 stycznia 2023 r. do dnia 31 grudnia 2023 r. to </w:t>
      </w:r>
      <w:r>
        <w:rPr>
          <w:rStyle w:val="Teksttreci2"/>
          <w:rFonts w:eastAsia="Tahoma"/>
          <w:b/>
          <w:bCs/>
          <w:color w:val="auto"/>
          <w:sz w:val="22"/>
          <w:szCs w:val="22"/>
        </w:rPr>
        <w:t>okres kwalifikowany</w:t>
      </w:r>
      <w:r>
        <w:rPr>
          <w:rStyle w:val="Teksttreci2"/>
          <w:rFonts w:eastAsia="Tahoma"/>
          <w:color w:val="auto"/>
          <w:sz w:val="22"/>
          <w:szCs w:val="22"/>
        </w:rPr>
        <w:t xml:space="preserve">, natomiast </w:t>
      </w:r>
      <w:r>
        <w:rPr>
          <w:rStyle w:val="Teksttreci2"/>
          <w:rFonts w:eastAsia="Tahoma"/>
          <w:b/>
          <w:bCs/>
          <w:color w:val="auto"/>
          <w:sz w:val="22"/>
          <w:szCs w:val="22"/>
        </w:rPr>
        <w:t>okresem referencyjnym</w:t>
      </w:r>
      <w:r>
        <w:rPr>
          <w:rStyle w:val="Teksttreci2"/>
          <w:rFonts w:eastAsia="Tahoma"/>
          <w:color w:val="auto"/>
          <w:sz w:val="22"/>
          <w:szCs w:val="22"/>
        </w:rPr>
        <w:t xml:space="preserve"> jest okres od dnia 1 stycznia 2021 r. do dnia 31 grudnia 2021 r.</w:t>
      </w:r>
    </w:p>
    <w:p w14:paraId="7C0F3AD4" w14:textId="77777777" w:rsidR="0099206D" w:rsidRDefault="00FD00E8">
      <w:pPr>
        <w:pStyle w:val="IFACListStyle1"/>
        <w:tabs>
          <w:tab w:val="clear" w:pos="547"/>
        </w:tabs>
        <w:spacing w:line="240" w:lineRule="auto"/>
        <w:rPr>
          <w:rStyle w:val="Teksttreci2"/>
          <w:rFonts w:eastAsia="Tahoma"/>
          <w:color w:val="auto"/>
          <w:sz w:val="22"/>
          <w:szCs w:val="22"/>
        </w:rPr>
      </w:pPr>
      <w:r>
        <w:rPr>
          <w:rStyle w:val="Teksttreci2"/>
          <w:rFonts w:eastAsia="Tahoma"/>
          <w:color w:val="auto"/>
          <w:sz w:val="22"/>
          <w:szCs w:val="22"/>
        </w:rPr>
        <w:t xml:space="preserve">Pomoc podstawowa może być udzielona na pokrycie kosztów poniesionych na zakup energii elektrycznej lub gazu ziemnego, obliczanych jako iloczyn różnicy średniej ceny brutto za jednostkę zużytą przez beneficjenta w okresie wnioskowanym (w PLN/MWh) i średniej ceny brutto za jednostkę zużytą przez beneficjenta w 2021 r. (w PLN/MWh) pomnożonej razy 1,5 oraz ilości MWh energii elektrycznej i gazu ziemnego nabytej od dostawców zewnętrznych i zużytej przez beneficjenta jako konsumenta końcowego w okresie kwalifikowalności, zgodnie z wzorem przedstawionym w części IX ust. 1 Programu. </w:t>
      </w:r>
    </w:p>
    <w:p w14:paraId="6F50E274" w14:textId="77777777" w:rsidR="0099206D" w:rsidRDefault="00FD00E8">
      <w:pPr>
        <w:pStyle w:val="IFACListStyle1"/>
        <w:tabs>
          <w:tab w:val="clear" w:pos="547"/>
        </w:tabs>
        <w:spacing w:line="240" w:lineRule="auto"/>
        <w:rPr>
          <w:rStyle w:val="Teksttreci2"/>
          <w:rFonts w:eastAsia="Tahoma"/>
          <w:color w:val="auto"/>
          <w:sz w:val="22"/>
          <w:szCs w:val="22"/>
        </w:rPr>
      </w:pPr>
      <w:r>
        <w:rPr>
          <w:rStyle w:val="Teksttreci2"/>
          <w:rFonts w:eastAsia="Tahoma"/>
          <w:color w:val="auto"/>
          <w:sz w:val="22"/>
          <w:szCs w:val="22"/>
        </w:rPr>
        <w:t xml:space="preserve">Pomoc podstawowa może dotyczyć kosztów poniesionych w dwóch odrębnych </w:t>
      </w:r>
      <w:r>
        <w:rPr>
          <w:rStyle w:val="Teksttreci2"/>
          <w:rFonts w:eastAsia="Tahoma"/>
          <w:b/>
          <w:bCs/>
          <w:color w:val="auto"/>
          <w:sz w:val="22"/>
          <w:szCs w:val="22"/>
        </w:rPr>
        <w:t>okresach wnioskowanych</w:t>
      </w:r>
      <w:r>
        <w:rPr>
          <w:rStyle w:val="Teksttreci2"/>
          <w:rFonts w:eastAsia="Tahoma"/>
          <w:color w:val="auto"/>
          <w:sz w:val="22"/>
          <w:szCs w:val="22"/>
        </w:rPr>
        <w:t>:</w:t>
      </w:r>
    </w:p>
    <w:p w14:paraId="0D0C7DB2" w14:textId="77777777" w:rsidR="0099206D" w:rsidRDefault="00FD00E8" w:rsidP="00C501BE">
      <w:pPr>
        <w:pStyle w:val="IFACListStyle1"/>
        <w:numPr>
          <w:ilvl w:val="0"/>
          <w:numId w:val="14"/>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 xml:space="preserve">od 1 stycznia do 30 czerwca 2023 r., stanowiący </w:t>
      </w:r>
      <w:r>
        <w:rPr>
          <w:rStyle w:val="Teksttreci2"/>
          <w:rFonts w:eastAsia="Tahoma"/>
          <w:b/>
          <w:bCs/>
          <w:color w:val="auto"/>
          <w:sz w:val="22"/>
          <w:szCs w:val="22"/>
        </w:rPr>
        <w:t>pierwszy okres wnioskowany</w:t>
      </w:r>
      <w:r>
        <w:rPr>
          <w:rStyle w:val="Teksttreci2"/>
          <w:rFonts w:eastAsia="Tahoma"/>
          <w:color w:val="auto"/>
          <w:sz w:val="22"/>
          <w:szCs w:val="22"/>
        </w:rPr>
        <w:t>,</w:t>
      </w:r>
    </w:p>
    <w:p w14:paraId="333ECB64" w14:textId="77777777" w:rsidR="0099206D" w:rsidRDefault="00FD00E8" w:rsidP="00C501BE">
      <w:pPr>
        <w:pStyle w:val="IFACListStyle1"/>
        <w:numPr>
          <w:ilvl w:val="0"/>
          <w:numId w:val="14"/>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lastRenderedPageBreak/>
        <w:t xml:space="preserve">od 1 lipca do 31 grudnia 2023 r., stanowiący </w:t>
      </w:r>
      <w:r>
        <w:rPr>
          <w:rStyle w:val="Teksttreci2"/>
          <w:rFonts w:eastAsia="Tahoma"/>
          <w:b/>
          <w:bCs/>
          <w:color w:val="auto"/>
          <w:sz w:val="22"/>
          <w:szCs w:val="22"/>
        </w:rPr>
        <w:t>drugi okres wnioskowany</w:t>
      </w:r>
      <w:r>
        <w:rPr>
          <w:rStyle w:val="Teksttreci2"/>
          <w:rFonts w:eastAsia="Tahoma"/>
          <w:color w:val="auto"/>
          <w:sz w:val="22"/>
          <w:szCs w:val="22"/>
        </w:rPr>
        <w:t>.</w:t>
      </w:r>
    </w:p>
    <w:p w14:paraId="0B0D77E0" w14:textId="77777777" w:rsidR="0099206D" w:rsidRDefault="00FD00E8">
      <w:pPr>
        <w:pStyle w:val="IFACListStyle1"/>
        <w:tabs>
          <w:tab w:val="clear" w:pos="547"/>
        </w:tabs>
        <w:spacing w:line="240" w:lineRule="auto"/>
        <w:rPr>
          <w:rStyle w:val="Teksttreci2"/>
          <w:rFonts w:eastAsia="Tahoma"/>
          <w:color w:val="auto"/>
          <w:sz w:val="22"/>
          <w:szCs w:val="22"/>
        </w:rPr>
      </w:pPr>
      <w:r>
        <w:rPr>
          <w:rStyle w:val="Teksttreci2"/>
          <w:rFonts w:eastAsia="Tahoma"/>
          <w:color w:val="auto"/>
          <w:sz w:val="22"/>
          <w:szCs w:val="22"/>
        </w:rPr>
        <w:t xml:space="preserve">Pomoc zwiększona może być udzielona za okres kwalifikowany od dnia 1 stycznia 2023 r. do dnia 31 grudnia 2023 r. </w:t>
      </w:r>
    </w:p>
    <w:p w14:paraId="1EBC76DD" w14:textId="76EFD54B" w:rsidR="0099206D" w:rsidRDefault="00FD00E8">
      <w:pPr>
        <w:pStyle w:val="IFACListStyle1"/>
        <w:tabs>
          <w:tab w:val="clear" w:pos="547"/>
        </w:tabs>
        <w:spacing w:line="240" w:lineRule="auto"/>
        <w:rPr>
          <w:rStyle w:val="Teksttreci2"/>
          <w:rFonts w:eastAsia="Tahoma"/>
          <w:color w:val="auto"/>
          <w:sz w:val="22"/>
          <w:szCs w:val="22"/>
          <w:u w:val="single"/>
        </w:rPr>
      </w:pPr>
      <w:r>
        <w:rPr>
          <w:rStyle w:val="Teksttreci2"/>
          <w:rFonts w:eastAsia="Tahoma"/>
          <w:color w:val="auto"/>
          <w:sz w:val="22"/>
          <w:szCs w:val="22"/>
          <w:u w:val="single"/>
        </w:rPr>
        <w:t>Kwota pomocy nie może przekroczyć maksymalnego limitu.</w:t>
      </w:r>
      <w:r>
        <w:rPr>
          <w:rStyle w:val="Teksttreci2"/>
          <w:rFonts w:eastAsia="Tahoma"/>
          <w:color w:val="auto"/>
          <w:sz w:val="22"/>
          <w:szCs w:val="22"/>
        </w:rPr>
        <w:t xml:space="preserve"> Dla wszystkich Wnioskodawców i przedsiębiorstw powiązanych, które kwalifikują się do programu – czyli energochłonnych firm – limit ten wynosi 50% kosztów kwalifikowanych do 4 mln EUR</w:t>
      </w:r>
      <w:r>
        <w:rPr>
          <w:rStyle w:val="Odwoanieprzypisudolnego"/>
          <w:rFonts w:ascii="Times New Roman" w:eastAsia="Tahoma" w:hAnsi="Times New Roman"/>
          <w:sz w:val="22"/>
          <w:szCs w:val="22"/>
          <w:lang w:val="pl-PL" w:eastAsia="pl-PL" w:bidi="pl-PL"/>
        </w:rPr>
        <w:footnoteReference w:id="2"/>
      </w:r>
      <w:r>
        <w:rPr>
          <w:rStyle w:val="Teksttreci2"/>
          <w:rFonts w:eastAsia="Tahoma"/>
          <w:color w:val="auto"/>
          <w:sz w:val="22"/>
          <w:szCs w:val="22"/>
        </w:rPr>
        <w:t xml:space="preserve">. Z wyższego limitu mogą skorzystać firmy, które prowadzą przeważającą działalność w branżach wskazanych na liście w Programie według podklas PKD lub kodów PRODCOM. Są to branże określone przez Komisję Europejską jako szczególnie narażone na utratę konkurencyjności względem firm spoza Europejskiego Obszaru Gospodarczego. Drugim warunkiem jest przedstawienie do końca I kwartału 2024 r. przez wnioskodawcę planu zwiększenia efektywności energetycznej, opracowanego na podstawie audytu energetycznego, którego koszty realizacji wyniosą co najmniej 30% otrzymanej pomocy. Po uwzględnieniu pomocy otrzymanej w zwiększonym limicie, wskaźnik EBITDA przedsiębiorstwa za 2023 r. nie może przekraczać 70% swojej wartości za rok referencyjny (2021). </w:t>
      </w:r>
      <w:r>
        <w:rPr>
          <w:rStyle w:val="Teksttreci2"/>
          <w:rFonts w:eastAsia="Tahoma"/>
          <w:color w:val="auto"/>
          <w:sz w:val="22"/>
          <w:szCs w:val="22"/>
          <w:u w:val="single"/>
        </w:rPr>
        <w:t>Jeśli wśród przedsiębiorstw powiązanych</w:t>
      </w:r>
      <w:r>
        <w:rPr>
          <w:rStyle w:val="Odwoanieprzypisudolnego"/>
          <w:rFonts w:ascii="Times New Roman" w:eastAsia="Tahoma" w:hAnsi="Times New Roman"/>
          <w:sz w:val="22"/>
          <w:szCs w:val="22"/>
          <w:u w:val="single"/>
          <w:lang w:val="pl-PL" w:eastAsia="pl-PL" w:bidi="pl-PL"/>
        </w:rPr>
        <w:footnoteReference w:id="3"/>
      </w:r>
      <w:r>
        <w:rPr>
          <w:rStyle w:val="Teksttreci2"/>
          <w:rFonts w:eastAsia="Tahoma"/>
          <w:color w:val="auto"/>
          <w:sz w:val="22"/>
          <w:szCs w:val="22"/>
          <w:u w:val="single"/>
        </w:rPr>
        <w:t xml:space="preserve"> znajdują się zarówno Wnioskodawcy uprawnieni do pomocy podstawowej, jak i ci uprawnieni do pomocy zwiększonej, to suma pomocy przyznanej dla pierwszej grupy nie może przekroczyć 4 mln EUR, a suma pomocy dla drugiej grupy nie może przekroczyć kwoty 40 mln EUR pomniejszonej o kwotę pomocy przyznanej pierwszej grupie.</w:t>
      </w:r>
    </w:p>
    <w:p w14:paraId="3F28AF63"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W celu uzyskania pomocy w ramach Programu Beneficjent składa wniosek o pomoc. Wniosek jest składany w postaci elektronicznej w dedykowanym narzędziu udostępnianym przez Narodowy Fundusz Ochrony Środowiska i Gospodarki Wodnej („</w:t>
      </w:r>
      <w:r>
        <w:rPr>
          <w:rStyle w:val="Teksttreci2"/>
          <w:rFonts w:eastAsia="Tahoma"/>
          <w:b/>
          <w:bCs/>
          <w:color w:val="auto"/>
          <w:sz w:val="22"/>
          <w:szCs w:val="22"/>
        </w:rPr>
        <w:t>Operator Programu</w:t>
      </w:r>
      <w:r>
        <w:rPr>
          <w:rStyle w:val="Teksttreci2"/>
          <w:rFonts w:eastAsia="Tahoma"/>
          <w:color w:val="auto"/>
          <w:sz w:val="22"/>
          <w:szCs w:val="22"/>
        </w:rPr>
        <w:t xml:space="preserve">”). </w:t>
      </w:r>
    </w:p>
    <w:p w14:paraId="16DD3E29"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 xml:space="preserve">Do </w:t>
      </w:r>
      <w:r>
        <w:rPr>
          <w:rStyle w:val="Teksttreci2"/>
          <w:rFonts w:eastAsia="Tahoma"/>
          <w:b/>
          <w:bCs/>
          <w:color w:val="auto"/>
          <w:sz w:val="22"/>
          <w:szCs w:val="22"/>
          <w:u w:val="single"/>
        </w:rPr>
        <w:t>każdego wniosku</w:t>
      </w:r>
      <w:r>
        <w:rPr>
          <w:rStyle w:val="Teksttreci2"/>
          <w:rFonts w:eastAsia="Tahoma"/>
          <w:color w:val="auto"/>
          <w:sz w:val="22"/>
          <w:szCs w:val="22"/>
        </w:rPr>
        <w:t xml:space="preserve"> załączane są następujące dokumenty:</w:t>
      </w:r>
    </w:p>
    <w:p w14:paraId="40A67287"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rPr>
      </w:pPr>
      <w:r>
        <w:rPr>
          <w:rStyle w:val="Teksttreci2"/>
          <w:rFonts w:eastAsia="Tahoma"/>
          <w:color w:val="auto"/>
          <w:sz w:val="22"/>
          <w:szCs w:val="22"/>
        </w:rPr>
        <w:t>zaświadczenia właściwych organów (wydane nie wcześniej niż 90 dni przed dniem złożenia wniosku) potwierdzające, że Wnioskodawca:</w:t>
      </w:r>
    </w:p>
    <w:p w14:paraId="4C847165" w14:textId="77777777" w:rsidR="0099206D" w:rsidRDefault="00FD00E8" w:rsidP="00363463">
      <w:pPr>
        <w:pStyle w:val="IFACListStyle1"/>
        <w:numPr>
          <w:ilvl w:val="0"/>
          <w:numId w:val="17"/>
        </w:numPr>
        <w:tabs>
          <w:tab w:val="clear" w:pos="547"/>
        </w:tabs>
        <w:spacing w:line="240" w:lineRule="auto"/>
        <w:ind w:left="567" w:hanging="283"/>
        <w:rPr>
          <w:rStyle w:val="Teksttreci2"/>
          <w:rFonts w:eastAsia="Tahoma"/>
          <w:color w:val="auto"/>
          <w:kern w:val="0"/>
          <w:sz w:val="22"/>
          <w:szCs w:val="22"/>
        </w:rPr>
      </w:pPr>
      <w:r>
        <w:rPr>
          <w:rStyle w:val="Teksttreci2"/>
          <w:rFonts w:eastAsia="Tahoma"/>
          <w:color w:val="auto"/>
          <w:sz w:val="22"/>
          <w:szCs w:val="22"/>
        </w:rPr>
        <w:t>nie zalega z zapłatą podatków stanowiących dochód budżetu państwa, z wyjątkiem przypadków, gdy uzyskał przewidziane prawem zwolnienie, odroczenie, rozłożenie na raty zaległości podatkowych albo podatku,</w:t>
      </w:r>
    </w:p>
    <w:p w14:paraId="0FFF0D0E" w14:textId="77777777" w:rsidR="0099206D" w:rsidRDefault="00FD00E8" w:rsidP="00363463">
      <w:pPr>
        <w:pStyle w:val="Akapitzlist"/>
        <w:numPr>
          <w:ilvl w:val="0"/>
          <w:numId w:val="17"/>
        </w:numPr>
        <w:spacing w:line="240" w:lineRule="auto"/>
        <w:ind w:left="567" w:hanging="283"/>
        <w:jc w:val="both"/>
        <w:rPr>
          <w:rStyle w:val="Teksttreci2"/>
          <w:rFonts w:eastAsia="Tahoma"/>
          <w:color w:val="auto"/>
          <w:kern w:val="8"/>
          <w:sz w:val="22"/>
          <w:szCs w:val="22"/>
        </w:rPr>
      </w:pPr>
      <w:r>
        <w:rPr>
          <w:rStyle w:val="Teksttreci2"/>
          <w:rFonts w:eastAsia="Tahoma"/>
          <w:color w:val="auto"/>
          <w:kern w:val="8"/>
          <w:sz w:val="22"/>
          <w:szCs w:val="22"/>
        </w:rPr>
        <w:t>nie zalega z zapłatą należności z tytułu składek na ubezpieczenia społeczne, z wyjątkiem przypadków, gdy uzyskał przewidziane prawem zawieszenie spłaty lub zawarł umowę o odroczeniu terminu płatności albo umowę o rozłożeniu na raty należności z tytułu składek na ubezpieczenia społeczne;</w:t>
      </w:r>
    </w:p>
    <w:p w14:paraId="46A49200" w14:textId="43F3FA5E"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rPr>
      </w:pPr>
      <w:r>
        <w:rPr>
          <w:rStyle w:val="Teksttreci2"/>
          <w:rFonts w:eastAsia="Tahoma"/>
          <w:color w:val="auto"/>
          <w:sz w:val="22"/>
          <w:szCs w:val="22"/>
        </w:rPr>
        <w:t>pełnomocnictwa do reprezentowania Wnioskodawcy w zakresie złożenia wniosku o pomoc i</w:t>
      </w:r>
      <w:r w:rsidR="00363463">
        <w:rPr>
          <w:rStyle w:val="Teksttreci2"/>
          <w:rFonts w:eastAsia="Tahoma"/>
          <w:color w:val="auto"/>
          <w:sz w:val="22"/>
          <w:szCs w:val="22"/>
        </w:rPr>
        <w:t> </w:t>
      </w:r>
      <w:r>
        <w:rPr>
          <w:rStyle w:val="Teksttreci2"/>
          <w:rFonts w:eastAsia="Tahoma"/>
          <w:color w:val="auto"/>
          <w:sz w:val="22"/>
          <w:szCs w:val="22"/>
        </w:rPr>
        <w:t>podpisania umowy z Operatorem Programu (jeśli dotyczy).</w:t>
      </w:r>
    </w:p>
    <w:p w14:paraId="3281E184"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 xml:space="preserve">Dodatkowo do </w:t>
      </w:r>
      <w:r>
        <w:rPr>
          <w:rStyle w:val="Teksttreci2"/>
          <w:rFonts w:eastAsia="Tahoma"/>
          <w:b/>
          <w:bCs/>
          <w:color w:val="auto"/>
          <w:sz w:val="22"/>
          <w:szCs w:val="22"/>
          <w:u w:val="single"/>
        </w:rPr>
        <w:t>wniosku o pomoc podstawową</w:t>
      </w:r>
      <w:r>
        <w:rPr>
          <w:rStyle w:val="Teksttreci2"/>
          <w:rFonts w:eastAsia="Tahoma"/>
          <w:color w:val="auto"/>
          <w:sz w:val="22"/>
          <w:szCs w:val="22"/>
        </w:rPr>
        <w:t xml:space="preserve"> załączane są następujące dokumenty:</w:t>
      </w:r>
    </w:p>
    <w:p w14:paraId="3BB564C9"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rPr>
      </w:pPr>
      <w:r>
        <w:rPr>
          <w:rStyle w:val="Teksttreci2"/>
          <w:rFonts w:eastAsia="Tahoma"/>
          <w:color w:val="auto"/>
          <w:sz w:val="22"/>
          <w:szCs w:val="22"/>
        </w:rPr>
        <w:t xml:space="preserve">zestawienie dowodów księgowych potwierdzających poniesienie w okresie wnioskowanym kosztów ujętych we wniosku o pomoc oraz Sprawozdaniu Beneficjanta, o którym mowa poniżej, a na żądanie Operatora Programu, w terminie 7 dni od otrzymania żądania, także wskazanych przez Operatora Programu dowodów księgowych wykazanych w tym zestawieniu lub ich </w:t>
      </w:r>
      <w:proofErr w:type="spellStart"/>
      <w:r>
        <w:rPr>
          <w:rStyle w:val="Teksttreci2"/>
          <w:rFonts w:eastAsia="Tahoma"/>
          <w:color w:val="auto"/>
          <w:sz w:val="22"/>
          <w:szCs w:val="22"/>
        </w:rPr>
        <w:t>odwzorowań</w:t>
      </w:r>
      <w:proofErr w:type="spellEnd"/>
      <w:r>
        <w:rPr>
          <w:rStyle w:val="Teksttreci2"/>
          <w:rFonts w:eastAsia="Tahoma"/>
          <w:color w:val="auto"/>
          <w:sz w:val="22"/>
          <w:szCs w:val="22"/>
        </w:rPr>
        <w:t xml:space="preserve"> cyfrowych;</w:t>
      </w:r>
    </w:p>
    <w:p w14:paraId="38E85913"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rPr>
      </w:pPr>
      <w:r>
        <w:rPr>
          <w:rStyle w:val="Teksttreci2"/>
          <w:rFonts w:eastAsia="Tahoma"/>
          <w:color w:val="auto"/>
          <w:sz w:val="22"/>
          <w:szCs w:val="22"/>
        </w:rPr>
        <w:t>sprawozdanie Beneficjenta przedstawiające przyjęte założenia, wykorzystane dowody oraz dokonane obliczenia w zakresie poniesionych kosztów zakupu energii elektrycznej lub gazu ziemnego oraz dowody spełnienia warunków i kryteriów udzielenia pomocy („</w:t>
      </w:r>
      <w:r>
        <w:rPr>
          <w:rStyle w:val="Teksttreci2"/>
          <w:rFonts w:eastAsia="Tahoma"/>
          <w:b/>
          <w:bCs/>
          <w:color w:val="auto"/>
          <w:sz w:val="22"/>
          <w:szCs w:val="22"/>
        </w:rPr>
        <w:t>Sprawozdanie Beneficjenta dot. pomocy podstawowej</w:t>
      </w:r>
      <w:r>
        <w:rPr>
          <w:rStyle w:val="Teksttreci2"/>
          <w:rFonts w:eastAsia="Tahoma"/>
          <w:color w:val="auto"/>
          <w:sz w:val="22"/>
          <w:szCs w:val="22"/>
        </w:rPr>
        <w:t>”);</w:t>
      </w:r>
    </w:p>
    <w:p w14:paraId="44ADF083"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u w:val="single"/>
        </w:rPr>
      </w:pPr>
      <w:r>
        <w:rPr>
          <w:rStyle w:val="Teksttreci2"/>
          <w:rFonts w:eastAsia="Tahoma"/>
          <w:color w:val="auto"/>
          <w:sz w:val="22"/>
          <w:szCs w:val="22"/>
          <w:u w:val="single"/>
        </w:rPr>
        <w:lastRenderedPageBreak/>
        <w:t>raport niezależnego biegłego rewidenta z wykonania usługi atestacyjnej w zakresie oceny Sprawozdania Beneficjenta dot. pomocy podstawowej („</w:t>
      </w:r>
      <w:r>
        <w:rPr>
          <w:rStyle w:val="Teksttreci2"/>
          <w:rFonts w:eastAsia="Tahoma"/>
          <w:b/>
          <w:bCs/>
          <w:color w:val="auto"/>
          <w:sz w:val="22"/>
          <w:szCs w:val="22"/>
          <w:u w:val="single"/>
        </w:rPr>
        <w:t>Raport 1</w:t>
      </w:r>
      <w:r>
        <w:rPr>
          <w:rStyle w:val="Teksttreci2"/>
          <w:rFonts w:eastAsia="Tahoma"/>
          <w:color w:val="auto"/>
          <w:sz w:val="22"/>
          <w:szCs w:val="22"/>
          <w:u w:val="single"/>
        </w:rPr>
        <w:t xml:space="preserve">”). </w:t>
      </w:r>
    </w:p>
    <w:p w14:paraId="5FF0BDC9"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 xml:space="preserve">Do </w:t>
      </w:r>
      <w:r>
        <w:rPr>
          <w:rStyle w:val="Teksttreci2"/>
          <w:rFonts w:eastAsia="Tahoma"/>
          <w:b/>
          <w:bCs/>
          <w:color w:val="auto"/>
          <w:sz w:val="22"/>
          <w:szCs w:val="22"/>
          <w:u w:val="single"/>
        </w:rPr>
        <w:t>wniosku o pomoc zwiększoną</w:t>
      </w:r>
      <w:r>
        <w:rPr>
          <w:rStyle w:val="Teksttreci2"/>
          <w:rFonts w:eastAsia="Tahoma"/>
          <w:color w:val="auto"/>
          <w:sz w:val="22"/>
          <w:szCs w:val="22"/>
        </w:rPr>
        <w:t xml:space="preserve"> załączany jest:</w:t>
      </w:r>
    </w:p>
    <w:p w14:paraId="31ADACF3" w14:textId="77777777" w:rsidR="0099206D" w:rsidRDefault="00FD00E8" w:rsidP="00C501BE">
      <w:pPr>
        <w:pStyle w:val="IFACListStyle1"/>
        <w:numPr>
          <w:ilvl w:val="0"/>
          <w:numId w:val="16"/>
        </w:numPr>
        <w:tabs>
          <w:tab w:val="clear" w:pos="547"/>
        </w:tabs>
        <w:spacing w:line="240" w:lineRule="auto"/>
        <w:ind w:left="284" w:hanging="284"/>
        <w:rPr>
          <w:rFonts w:ascii="Times New Roman" w:eastAsia="Tahoma" w:hAnsi="Times New Roman"/>
          <w:color w:val="000000"/>
          <w:sz w:val="22"/>
          <w:szCs w:val="22"/>
          <w:u w:val="single"/>
          <w:lang w:val="pl-PL" w:eastAsia="pl-PL" w:bidi="pl-PL"/>
        </w:rPr>
      </w:pPr>
      <w:r>
        <w:rPr>
          <w:rFonts w:ascii="Times New Roman" w:eastAsia="Tahoma" w:hAnsi="Times New Roman"/>
          <w:color w:val="000000"/>
          <w:sz w:val="22"/>
          <w:szCs w:val="22"/>
          <w:u w:val="single"/>
          <w:lang w:val="pl-PL" w:eastAsia="pl-PL" w:bidi="pl-PL"/>
        </w:rPr>
        <w:t>raport biegłego rewidenta z usługi atestacyjnej, w zakresie udowodnienia spełnienia warunku dotyczącego osiągnięcia w ostatnim zamkniętym</w:t>
      </w:r>
      <w:r>
        <w:rPr>
          <w:rStyle w:val="Odwoanieprzypisudolnego"/>
          <w:rFonts w:ascii="Times New Roman" w:eastAsia="Tahoma" w:hAnsi="Times New Roman"/>
          <w:color w:val="000000"/>
          <w:sz w:val="22"/>
          <w:szCs w:val="22"/>
          <w:u w:val="single"/>
          <w:lang w:val="pl-PL" w:eastAsia="pl-PL" w:bidi="pl-PL"/>
        </w:rPr>
        <w:footnoteReference w:id="4"/>
      </w:r>
      <w:r>
        <w:rPr>
          <w:rFonts w:ascii="Times New Roman" w:eastAsia="Tahoma" w:hAnsi="Times New Roman"/>
          <w:color w:val="000000"/>
          <w:sz w:val="22"/>
          <w:szCs w:val="22"/>
          <w:u w:val="single"/>
          <w:lang w:val="pl-PL" w:eastAsia="pl-PL" w:bidi="pl-PL"/>
        </w:rPr>
        <w:t xml:space="preserve"> roku obrotowym łącznie co najmniej 50% przychodu w jednej lub łącznie kilku podklasach PKD lub kodach PRODCOM, znajdujących się na listach w części XVI Programu („</w:t>
      </w:r>
      <w:r>
        <w:rPr>
          <w:rFonts w:ascii="Times New Roman" w:eastAsia="Tahoma" w:hAnsi="Times New Roman"/>
          <w:b/>
          <w:bCs/>
          <w:color w:val="000000"/>
          <w:sz w:val="22"/>
          <w:szCs w:val="22"/>
          <w:u w:val="single"/>
          <w:lang w:val="pl-PL" w:eastAsia="pl-PL" w:bidi="pl-PL"/>
        </w:rPr>
        <w:t>Raport 2</w:t>
      </w:r>
      <w:r>
        <w:rPr>
          <w:rFonts w:ascii="Times New Roman" w:eastAsia="Tahoma" w:hAnsi="Times New Roman"/>
          <w:color w:val="000000"/>
          <w:sz w:val="22"/>
          <w:szCs w:val="22"/>
          <w:u w:val="single"/>
          <w:lang w:val="pl-PL" w:eastAsia="pl-PL" w:bidi="pl-PL"/>
        </w:rPr>
        <w:t>”).</w:t>
      </w:r>
    </w:p>
    <w:p w14:paraId="6ED0B373" w14:textId="77777777" w:rsidR="0099206D" w:rsidRDefault="00FD00E8">
      <w:pPr>
        <w:pStyle w:val="IFACListStyle1"/>
        <w:tabs>
          <w:tab w:val="clear" w:pos="547"/>
        </w:tabs>
        <w:spacing w:after="240"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u w:val="single"/>
          <w:lang w:val="pl-PL" w:eastAsia="pl-PL" w:bidi="pl-PL"/>
        </w:rPr>
        <w:t>Pomoc podstawowa zostanie udzielona</w:t>
      </w:r>
      <w:r>
        <w:rPr>
          <w:rFonts w:ascii="Times New Roman" w:eastAsia="Tahoma" w:hAnsi="Times New Roman"/>
          <w:color w:val="000000"/>
          <w:sz w:val="22"/>
          <w:szCs w:val="22"/>
          <w:lang w:val="pl-PL" w:eastAsia="pl-PL" w:bidi="pl-PL"/>
        </w:rPr>
        <w:t xml:space="preserve"> na koszty poniesione w pierwszym okresie wnioskowanym nie później niż dnia 31 grudnia 2023 r., a na koszty poniesione w drugim okresie wnioskowanym nie później niż do dnia 31 marca 2024 r. </w:t>
      </w:r>
    </w:p>
    <w:p w14:paraId="5781466D" w14:textId="77777777" w:rsidR="0099206D" w:rsidRDefault="00FD00E8">
      <w:pPr>
        <w:pStyle w:val="IFACListStyle1"/>
        <w:tabs>
          <w:tab w:val="clear" w:pos="547"/>
        </w:tabs>
        <w:spacing w:after="240" w:line="240" w:lineRule="auto"/>
        <w:rPr>
          <w:rFonts w:ascii="Times New Roman" w:eastAsia="Tahoma" w:hAnsi="Times New Roman"/>
          <w:color w:val="000000"/>
          <w:sz w:val="22"/>
          <w:szCs w:val="22"/>
          <w:u w:val="single"/>
          <w:lang w:val="pl-PL" w:eastAsia="pl-PL" w:bidi="pl-PL"/>
        </w:rPr>
      </w:pPr>
      <w:r>
        <w:rPr>
          <w:rFonts w:ascii="Times New Roman" w:eastAsia="Tahoma" w:hAnsi="Times New Roman"/>
          <w:color w:val="000000"/>
          <w:sz w:val="22"/>
          <w:szCs w:val="22"/>
          <w:u w:val="single"/>
          <w:lang w:val="pl-PL" w:eastAsia="pl-PL" w:bidi="pl-PL"/>
        </w:rPr>
        <w:t>Pomoc zwiększona zostanie udzielona</w:t>
      </w:r>
      <w:r>
        <w:rPr>
          <w:rFonts w:ascii="Times New Roman" w:eastAsia="Tahoma" w:hAnsi="Times New Roman"/>
          <w:color w:val="000000"/>
          <w:sz w:val="22"/>
          <w:szCs w:val="22"/>
          <w:lang w:val="pl-PL" w:eastAsia="pl-PL" w:bidi="pl-PL"/>
        </w:rPr>
        <w:t xml:space="preserve"> nie później niż do dnia 31 grudnia 2023 r.</w:t>
      </w:r>
    </w:p>
    <w:p w14:paraId="1577A2FC" w14:textId="77777777" w:rsidR="0099206D" w:rsidRDefault="00FD00E8" w:rsidP="00D514E0">
      <w:pPr>
        <w:pStyle w:val="IFACListStyle1"/>
        <w:numPr>
          <w:ilvl w:val="0"/>
          <w:numId w:val="23"/>
        </w:numPr>
        <w:tabs>
          <w:tab w:val="clear" w:pos="547"/>
        </w:tabs>
        <w:spacing w:line="240" w:lineRule="auto"/>
        <w:ind w:left="426" w:hanging="426"/>
        <w:rPr>
          <w:rFonts w:ascii="Times New Roman" w:eastAsia="Tahoma" w:hAnsi="Times New Roman"/>
          <w:b/>
          <w:bCs/>
          <w:color w:val="000000"/>
          <w:sz w:val="22"/>
          <w:szCs w:val="22"/>
          <w:lang w:val="pl-PL" w:eastAsia="pl-PL" w:bidi="pl-PL"/>
        </w:rPr>
      </w:pPr>
      <w:r>
        <w:rPr>
          <w:rFonts w:ascii="Times New Roman" w:eastAsia="Tahoma" w:hAnsi="Times New Roman"/>
          <w:b/>
          <w:bCs/>
          <w:color w:val="000000"/>
          <w:sz w:val="22"/>
          <w:szCs w:val="22"/>
          <w:lang w:val="pl-PL" w:eastAsia="pl-PL" w:bidi="pl-PL"/>
        </w:rPr>
        <w:t>Rozliczenie otrzymanej pomocy publicznej</w:t>
      </w:r>
    </w:p>
    <w:p w14:paraId="29B459CA" w14:textId="77777777" w:rsidR="0099206D" w:rsidRDefault="00FD00E8">
      <w:pPr>
        <w:pStyle w:val="Bezodstpw"/>
        <w:numPr>
          <w:ilvl w:val="0"/>
          <w:numId w:val="0"/>
        </w:numPr>
        <w:spacing w:line="240" w:lineRule="auto"/>
        <w:rPr>
          <w:rStyle w:val="Teksttreci2"/>
          <w:rFonts w:eastAsia="Tahoma"/>
          <w:color w:val="auto"/>
          <w:kern w:val="8"/>
          <w:sz w:val="22"/>
          <w:szCs w:val="22"/>
        </w:rPr>
      </w:pPr>
      <w:r>
        <w:rPr>
          <w:rStyle w:val="Teksttreci2"/>
          <w:rFonts w:eastAsia="Tahoma"/>
          <w:color w:val="auto"/>
          <w:kern w:val="8"/>
          <w:sz w:val="22"/>
          <w:szCs w:val="22"/>
        </w:rPr>
        <w:t xml:space="preserve">Pomoc zwiększona (zawnioskowana i otrzymana) podlega rozliczeniu do dnia 31 marca 2024 r. </w:t>
      </w:r>
    </w:p>
    <w:p w14:paraId="06E575B9" w14:textId="77777777" w:rsidR="0099206D" w:rsidRDefault="00FD00E8">
      <w:pPr>
        <w:pStyle w:val="Bezodstpw"/>
        <w:numPr>
          <w:ilvl w:val="0"/>
          <w:numId w:val="0"/>
        </w:numPr>
        <w:spacing w:line="240" w:lineRule="auto"/>
        <w:rPr>
          <w:rStyle w:val="Teksttreci2"/>
          <w:rFonts w:eastAsia="Tahoma"/>
          <w:color w:val="auto"/>
          <w:kern w:val="8"/>
          <w:sz w:val="22"/>
          <w:szCs w:val="22"/>
        </w:rPr>
      </w:pPr>
      <w:r>
        <w:rPr>
          <w:rStyle w:val="Teksttreci2"/>
          <w:rFonts w:eastAsia="Tahoma"/>
          <w:color w:val="auto"/>
          <w:kern w:val="8"/>
          <w:sz w:val="22"/>
          <w:szCs w:val="22"/>
        </w:rPr>
        <w:t>W ramach rozliczenia Beneficjent, który zaliczkowo otrzymał pomoc zwiększoną przedstawia Operatorowi Programu następujące dokumenty:</w:t>
      </w:r>
    </w:p>
    <w:p w14:paraId="2BE1FDCB"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formularz rozliczenia pomocy zawierający dane dotyczące rzeczywiście poniesionych kosztów zakupu energii elektrycznej lub gazu ziemnego oraz wykazanego wskaźnika EBITDA w okresie referencyjnym i kwalifikowanym;</w:t>
      </w:r>
    </w:p>
    <w:p w14:paraId="17D22872"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 xml:space="preserve">zestawienie dowodów księgowych potwierdzających poniesienie kosztów </w:t>
      </w:r>
      <w:r>
        <w:rPr>
          <w:rStyle w:val="Teksttreci2"/>
          <w:rFonts w:eastAsia="Tahoma"/>
          <w:color w:val="auto"/>
          <w:sz w:val="22"/>
          <w:szCs w:val="22"/>
        </w:rPr>
        <w:br/>
        <w:t xml:space="preserve">w okresie kwalifikowanym ujętych w formularzu rozliczenia pomocy oraz Sprawozdaniu Beneficjenta, a na żądanie Operatora Programu, w terminie 7 dni od otrzymania żądania, także wskazanych przez Operatora Programu dowodów księgowych wykazanych w tym zestawieniu lub ich </w:t>
      </w:r>
      <w:proofErr w:type="spellStart"/>
      <w:r>
        <w:rPr>
          <w:rStyle w:val="Teksttreci2"/>
          <w:rFonts w:eastAsia="Tahoma"/>
          <w:color w:val="auto"/>
          <w:sz w:val="22"/>
          <w:szCs w:val="22"/>
        </w:rPr>
        <w:t>odwzorowań</w:t>
      </w:r>
      <w:proofErr w:type="spellEnd"/>
      <w:r>
        <w:rPr>
          <w:rStyle w:val="Teksttreci2"/>
          <w:rFonts w:eastAsia="Tahoma"/>
          <w:color w:val="auto"/>
          <w:sz w:val="22"/>
          <w:szCs w:val="22"/>
        </w:rPr>
        <w:t xml:space="preserve"> cyfrowych; żądanie to może zostać zgłoszone przez Operatora Programu po dniu 31 marca 2024 r., ale przed zakończeniem rozliczenia pomocy;</w:t>
      </w:r>
    </w:p>
    <w:p w14:paraId="74664CC4"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sprawozdanie Beneficjenta przedstawiające przyjęte założenia, wykorzystane dowody oraz dokonane obliczenia w zakresie poniesionych kosztów zakupu energii elektrycznej lub gazu ziemnego oraz wykazanego wskaźnika EBITDA w okresie referencyjnym i kwalifikowanym, a także dowody spełnienia warunków i kryteriów udzielenia pomocy („</w:t>
      </w:r>
      <w:r>
        <w:rPr>
          <w:rStyle w:val="Teksttreci2"/>
          <w:rFonts w:eastAsia="Tahoma"/>
          <w:b/>
          <w:bCs/>
          <w:color w:val="auto"/>
          <w:sz w:val="22"/>
          <w:szCs w:val="22"/>
        </w:rPr>
        <w:t>Sprawozdanie Beneficjenta dot. pomocy zwiększonej</w:t>
      </w:r>
      <w:r>
        <w:rPr>
          <w:rStyle w:val="Teksttreci2"/>
          <w:rFonts w:eastAsia="Tahoma"/>
          <w:color w:val="auto"/>
          <w:sz w:val="22"/>
          <w:szCs w:val="22"/>
        </w:rPr>
        <w:t>”);</w:t>
      </w:r>
    </w:p>
    <w:p w14:paraId="139BF39E"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sz w:val="22"/>
          <w:szCs w:val="22"/>
          <w:u w:val="single"/>
        </w:rPr>
      </w:pPr>
      <w:r>
        <w:rPr>
          <w:rStyle w:val="Teksttreci2"/>
          <w:rFonts w:eastAsia="Tahoma"/>
          <w:color w:val="auto"/>
          <w:sz w:val="22"/>
          <w:szCs w:val="22"/>
          <w:u w:val="single"/>
        </w:rPr>
        <w:t>raport niezależnego biegłego rewidenta z wykonania usługi atestacyjnej w zakresie oceny Sprawozdania Beneficjenta dot. pomocy zwiększonej („</w:t>
      </w:r>
      <w:r>
        <w:rPr>
          <w:rStyle w:val="Teksttreci2"/>
          <w:rFonts w:eastAsia="Tahoma"/>
          <w:b/>
          <w:bCs/>
          <w:color w:val="auto"/>
          <w:sz w:val="22"/>
          <w:szCs w:val="22"/>
          <w:u w:val="single"/>
        </w:rPr>
        <w:t>Raport 3</w:t>
      </w:r>
      <w:r>
        <w:rPr>
          <w:rStyle w:val="Teksttreci2"/>
          <w:rFonts w:eastAsia="Tahoma"/>
          <w:color w:val="auto"/>
          <w:sz w:val="22"/>
          <w:szCs w:val="22"/>
          <w:u w:val="single"/>
        </w:rPr>
        <w:t>”);</w:t>
      </w:r>
    </w:p>
    <w:p w14:paraId="60DDA3FA" w14:textId="77777777" w:rsidR="0099206D" w:rsidRDefault="00FD00E8" w:rsidP="00C501BE">
      <w:pPr>
        <w:pStyle w:val="IFACListStyle1"/>
        <w:numPr>
          <w:ilvl w:val="0"/>
          <w:numId w:val="16"/>
        </w:numPr>
        <w:tabs>
          <w:tab w:val="clear" w:pos="547"/>
        </w:tabs>
        <w:spacing w:after="120" w:line="240" w:lineRule="auto"/>
        <w:ind w:left="284" w:hanging="284"/>
        <w:rPr>
          <w:rStyle w:val="Teksttreci2"/>
          <w:rFonts w:eastAsia="Tahoma" w:cstheme="minorBidi"/>
          <w:b/>
          <w:bCs/>
          <w:sz w:val="22"/>
          <w:szCs w:val="22"/>
        </w:rPr>
      </w:pPr>
      <w:r>
        <w:rPr>
          <w:rStyle w:val="Teksttreci2"/>
          <w:rFonts w:eastAsia="Tahoma"/>
          <w:color w:val="auto"/>
          <w:sz w:val="22"/>
          <w:szCs w:val="22"/>
        </w:rPr>
        <w:t xml:space="preserve">„Plan zmniejszenia energochłonności przedsiębiorstwa” </w:t>
      </w:r>
      <w:bookmarkStart w:id="1" w:name="_Hlk138144685"/>
      <w:r>
        <w:rPr>
          <w:rStyle w:val="Teksttreci2"/>
          <w:rFonts w:eastAsia="Tahoma"/>
          <w:color w:val="auto"/>
          <w:sz w:val="22"/>
          <w:szCs w:val="22"/>
        </w:rPr>
        <w:t xml:space="preserve">wykonany zgodnie </w:t>
      </w:r>
      <w:r>
        <w:rPr>
          <w:rStyle w:val="Teksttreci2"/>
          <w:rFonts w:eastAsia="Tahoma"/>
          <w:color w:val="auto"/>
          <w:sz w:val="22"/>
          <w:szCs w:val="22"/>
        </w:rPr>
        <w:br/>
        <w:t>z częścią XVII Programu.</w:t>
      </w:r>
      <w:bookmarkEnd w:id="1"/>
    </w:p>
    <w:p w14:paraId="31E894C6" w14:textId="663699CD" w:rsidR="0099206D" w:rsidRDefault="00FD00E8">
      <w:pPr>
        <w:pStyle w:val="Bezodstpw"/>
        <w:numPr>
          <w:ilvl w:val="0"/>
          <w:numId w:val="0"/>
        </w:numPr>
        <w:spacing w:line="240" w:lineRule="auto"/>
        <w:rPr>
          <w:rStyle w:val="Teksttreci2"/>
          <w:rFonts w:eastAsia="Tahoma"/>
          <w:color w:val="auto"/>
          <w:u w:val="single"/>
        </w:rPr>
      </w:pPr>
      <w:r>
        <w:rPr>
          <w:rStyle w:val="Teksttreci2"/>
          <w:rFonts w:eastAsia="Tahoma"/>
          <w:color w:val="auto"/>
          <w:sz w:val="22"/>
          <w:szCs w:val="22"/>
          <w:u w:val="single"/>
        </w:rPr>
        <w:t>W dalszej części niniejszego opracowania zdefiniowane powyżej Sprawozdanie Beneficjenta dot. pomocy podstawowej oraz Sprawozdanie Beneficjenta dot. pomocy zwiększonej będą dla ułatwienia nazwane ogólnie „</w:t>
      </w:r>
      <w:r>
        <w:rPr>
          <w:rStyle w:val="Teksttreci2"/>
          <w:rFonts w:eastAsia="Tahoma"/>
          <w:b/>
          <w:bCs/>
          <w:color w:val="auto"/>
          <w:sz w:val="22"/>
          <w:szCs w:val="22"/>
          <w:u w:val="single"/>
        </w:rPr>
        <w:t>Sprawozdani</w:t>
      </w:r>
      <w:r w:rsidR="00C501BE">
        <w:rPr>
          <w:rStyle w:val="Teksttreci2"/>
          <w:rFonts w:eastAsia="Tahoma"/>
          <w:b/>
          <w:bCs/>
          <w:color w:val="auto"/>
          <w:sz w:val="22"/>
          <w:szCs w:val="22"/>
          <w:u w:val="single"/>
        </w:rPr>
        <w:t>em</w:t>
      </w:r>
      <w:r>
        <w:rPr>
          <w:rStyle w:val="Teksttreci2"/>
          <w:rFonts w:eastAsia="Tahoma"/>
          <w:b/>
          <w:bCs/>
          <w:color w:val="auto"/>
          <w:sz w:val="22"/>
          <w:szCs w:val="22"/>
          <w:u w:val="single"/>
        </w:rPr>
        <w:t xml:space="preserve"> Beneficjenta</w:t>
      </w:r>
      <w:r>
        <w:rPr>
          <w:rStyle w:val="Teksttreci2"/>
          <w:rFonts w:eastAsia="Tahoma"/>
          <w:color w:val="auto"/>
          <w:sz w:val="22"/>
          <w:szCs w:val="22"/>
          <w:u w:val="single"/>
        </w:rPr>
        <w:t>”. Natomiast należy mieć na uwadze, że zgodnie z</w:t>
      </w:r>
      <w:r w:rsidR="00363463">
        <w:rPr>
          <w:rStyle w:val="Teksttreci2"/>
          <w:rFonts w:eastAsia="Tahoma"/>
          <w:color w:val="auto"/>
          <w:sz w:val="22"/>
          <w:szCs w:val="22"/>
          <w:u w:val="single"/>
        </w:rPr>
        <w:t> </w:t>
      </w:r>
      <w:r>
        <w:rPr>
          <w:rStyle w:val="Teksttreci2"/>
          <w:rFonts w:eastAsia="Tahoma"/>
          <w:color w:val="auto"/>
          <w:sz w:val="22"/>
          <w:szCs w:val="22"/>
          <w:u w:val="single"/>
        </w:rPr>
        <w:t>Programem istnieją dwa osobne wzory ogłoszone w BIP</w:t>
      </w:r>
      <w:r>
        <w:rPr>
          <w:rStyle w:val="Odwoanieprzypisudolnego"/>
          <w:rFonts w:ascii="Times New Roman" w:eastAsia="Tahoma" w:hAnsi="Times New Roman" w:cs="Times New Roman"/>
          <w:sz w:val="22"/>
          <w:u w:val="single"/>
          <w:lang w:eastAsia="pl-PL" w:bidi="pl-PL"/>
        </w:rPr>
        <w:footnoteReference w:id="5"/>
      </w:r>
      <w:r>
        <w:rPr>
          <w:rStyle w:val="Teksttreci2"/>
          <w:rFonts w:eastAsia="Tahoma"/>
          <w:color w:val="auto"/>
          <w:sz w:val="22"/>
          <w:szCs w:val="22"/>
          <w:u w:val="single"/>
        </w:rPr>
        <w:t xml:space="preserve">, które Beneficjent powinien zastosować odpowiednio do rodzaju pomocy publicznej. </w:t>
      </w:r>
      <w:r>
        <w:rPr>
          <w:rStyle w:val="Teksttreci2"/>
          <w:rFonts w:eastAsia="Tahoma"/>
          <w:color w:val="auto"/>
          <w:sz w:val="22"/>
          <w:szCs w:val="22"/>
        </w:rPr>
        <w:t>W dniu 25 października 2023 r. Operator Programu wydał ogłoszenie o możliwości składania wniosków „Nabór wniosków w ramach Programu Rządowego pt. „Pomoc dla przemysłu energochłonnego związana z cenami gazu ziemnego i energii elektrycznej w 2023 r.”, w ramach którego zamieścił m.in. dwa wymagane wzory: „</w:t>
      </w:r>
      <w:r>
        <w:rPr>
          <w:rStyle w:val="Teksttreci2"/>
          <w:rFonts w:eastAsia="Tahoma"/>
          <w:b/>
          <w:bCs/>
          <w:color w:val="auto"/>
          <w:sz w:val="22"/>
          <w:szCs w:val="22"/>
        </w:rPr>
        <w:t>4.</w:t>
      </w:r>
      <w:r>
        <w:rPr>
          <w:rStyle w:val="Teksttreci2"/>
          <w:rFonts w:eastAsia="Tahoma"/>
          <w:color w:val="auto"/>
          <w:sz w:val="22"/>
          <w:szCs w:val="22"/>
        </w:rPr>
        <w:t>2. Sprawozdanie beneficjenta – pomoc podstawowa” oraz „</w:t>
      </w:r>
      <w:r>
        <w:rPr>
          <w:rStyle w:val="Teksttreci2"/>
          <w:rFonts w:eastAsia="Tahoma"/>
          <w:b/>
          <w:bCs/>
          <w:color w:val="auto"/>
          <w:sz w:val="22"/>
          <w:szCs w:val="22"/>
        </w:rPr>
        <w:t>8.</w:t>
      </w:r>
      <w:r>
        <w:rPr>
          <w:rStyle w:val="Teksttreci2"/>
          <w:rFonts w:eastAsia="Tahoma"/>
          <w:color w:val="auto"/>
          <w:sz w:val="22"/>
          <w:szCs w:val="22"/>
        </w:rPr>
        <w:t>2.</w:t>
      </w:r>
      <w:r>
        <w:rPr>
          <w:rStyle w:val="Teksttreci2"/>
          <w:rFonts w:eastAsia="Tahoma"/>
          <w:b/>
          <w:bCs/>
          <w:color w:val="auto"/>
          <w:sz w:val="22"/>
          <w:szCs w:val="22"/>
        </w:rPr>
        <w:t xml:space="preserve"> </w:t>
      </w:r>
      <w:r>
        <w:rPr>
          <w:rStyle w:val="Teksttreci2"/>
          <w:rFonts w:eastAsia="Tahoma"/>
          <w:color w:val="auto"/>
          <w:sz w:val="22"/>
          <w:szCs w:val="22"/>
        </w:rPr>
        <w:t>Sprawozdanie beneficjenta – pomoc zwiększona”.</w:t>
      </w:r>
    </w:p>
    <w:p w14:paraId="42A0396F" w14:textId="77777777" w:rsidR="0099206D" w:rsidRDefault="0099206D">
      <w:pPr>
        <w:pStyle w:val="Bezodstpw"/>
        <w:numPr>
          <w:ilvl w:val="0"/>
          <w:numId w:val="0"/>
        </w:numPr>
        <w:spacing w:line="240" w:lineRule="auto"/>
        <w:ind w:left="360"/>
        <w:rPr>
          <w:rFonts w:ascii="Times New Roman" w:eastAsia="Tahoma" w:hAnsi="Times New Roman"/>
          <w:b/>
          <w:bCs/>
          <w:color w:val="000000"/>
          <w:sz w:val="22"/>
          <w:lang w:eastAsia="pl-PL" w:bidi="pl-PL"/>
        </w:rPr>
      </w:pPr>
    </w:p>
    <w:p w14:paraId="17C8386F" w14:textId="77777777" w:rsidR="0099206D" w:rsidRDefault="00FD00E8" w:rsidP="00D514E0">
      <w:pPr>
        <w:pStyle w:val="IFACListStyle1"/>
        <w:numPr>
          <w:ilvl w:val="0"/>
          <w:numId w:val="23"/>
        </w:numPr>
        <w:tabs>
          <w:tab w:val="clear" w:pos="547"/>
        </w:tabs>
        <w:spacing w:line="240" w:lineRule="auto"/>
        <w:ind w:left="426" w:hanging="426"/>
        <w:rPr>
          <w:rStyle w:val="Teksttreci2"/>
          <w:rFonts w:eastAsia="Tahoma"/>
          <w:b/>
          <w:bCs/>
          <w:kern w:val="0"/>
          <w:sz w:val="22"/>
          <w:szCs w:val="22"/>
        </w:rPr>
      </w:pPr>
      <w:r>
        <w:rPr>
          <w:rFonts w:ascii="Times New Roman" w:eastAsia="Tahoma" w:hAnsi="Times New Roman"/>
          <w:b/>
          <w:bCs/>
          <w:color w:val="000000"/>
          <w:sz w:val="22"/>
          <w:szCs w:val="22"/>
          <w:lang w:val="pl-PL" w:eastAsia="pl-PL" w:bidi="pl-PL"/>
        </w:rPr>
        <w:lastRenderedPageBreak/>
        <w:t>Usługi wykonywane przez biegłego rewidenta w ramach Programu</w:t>
      </w:r>
    </w:p>
    <w:p w14:paraId="7729BD62" w14:textId="5229DC8B" w:rsidR="0099206D" w:rsidRDefault="00FD00E8">
      <w:pPr>
        <w:spacing w:before="240" w:line="240" w:lineRule="auto"/>
        <w:jc w:val="both"/>
        <w:rPr>
          <w:rStyle w:val="Teksttreci2"/>
          <w:rFonts w:eastAsia="Tahoma"/>
          <w:color w:val="auto"/>
          <w:sz w:val="22"/>
          <w:szCs w:val="22"/>
        </w:rPr>
      </w:pPr>
      <w:r>
        <w:rPr>
          <w:rStyle w:val="Teksttreci2"/>
          <w:rFonts w:eastAsia="Tahoma"/>
          <w:color w:val="auto"/>
          <w:sz w:val="22"/>
          <w:szCs w:val="22"/>
        </w:rPr>
        <w:t xml:space="preserve">Usługi biegłego rewidenta w ramach aktualnego Programu będą wykonywane, w rozumieniu Operatora Programu, zgodnie z postanowieniami </w:t>
      </w:r>
      <w:hyperlink r:id="rId8" w:history="1">
        <w:r w:rsidR="00C501BE" w:rsidRPr="00C501BE">
          <w:rPr>
            <w:rStyle w:val="Hipercze"/>
            <w:rFonts w:ascii="Times New Roman" w:eastAsia="Tahoma" w:hAnsi="Times New Roman" w:cs="Times New Roman"/>
            <w:lang w:val="pl-PL" w:eastAsia="pl-PL" w:bidi="pl-PL"/>
          </w:rPr>
          <w:t>Krajowego Standardu Usług Atestacyjnych Innych niż Badanie i  przegląd 3000 (Z) w brzmieniu Międzynarodowego Standardu Usług Atestacyjnych 3000 (zmienionego) - „Usługi atestacyjne inne niż badania lub przeglądy historycznych informacji finansowych”</w:t>
        </w:r>
      </w:hyperlink>
      <w:r w:rsidR="00C501BE" w:rsidRPr="00C501BE">
        <w:rPr>
          <w:rFonts w:ascii="Times New Roman" w:eastAsia="Tahoma" w:hAnsi="Times New Roman" w:cs="Times New Roman"/>
          <w:lang w:val="pl-PL" w:eastAsia="pl-PL" w:bidi="pl-PL"/>
        </w:rPr>
        <w:t xml:space="preserve">, przyjętego </w:t>
      </w:r>
      <w:hyperlink r:id="rId9" w:history="1">
        <w:r w:rsidR="00C501BE" w:rsidRPr="00C501BE">
          <w:rPr>
            <w:rStyle w:val="Hipercze"/>
            <w:rFonts w:ascii="Times New Roman" w:eastAsia="Tahoma" w:hAnsi="Times New Roman" w:cs="Times New Roman"/>
            <w:bCs/>
            <w:lang w:val="pl-PL" w:eastAsia="pl-PL" w:bidi="pl-PL"/>
          </w:rPr>
          <w:t>uchwałą nr 3436/52e/2019 Krajowej Rady Biegłych Rewidentów z dnia 8 kwietnia 2019 r. w sprawie krajowych standardów przeglądu, krajowych standardów usług atestacyjnych innych niż badanie i przegląd oraz krajowych standardów usług pokrewnych</w:t>
        </w:r>
      </w:hyperlink>
      <w:r w:rsidR="00C501BE" w:rsidRPr="00C501BE">
        <w:rPr>
          <w:rStyle w:val="Teksttreci2"/>
          <w:rFonts w:eastAsia="Tahoma"/>
          <w:color w:val="auto"/>
          <w:sz w:val="22"/>
          <w:szCs w:val="22"/>
        </w:rPr>
        <w:t>, z późn. zm.</w:t>
      </w:r>
      <w:r w:rsidR="00C501BE">
        <w:rPr>
          <w:rStyle w:val="Teksttreci2"/>
          <w:rFonts w:eastAsia="Tahoma"/>
          <w:color w:val="auto"/>
          <w:sz w:val="22"/>
          <w:szCs w:val="22"/>
        </w:rPr>
        <w:t>,</w:t>
      </w:r>
      <w:r w:rsidR="00C501BE" w:rsidRPr="00C501BE">
        <w:rPr>
          <w:rStyle w:val="Teksttreci2"/>
          <w:rFonts w:eastAsia="Tahoma"/>
          <w:color w:val="auto"/>
          <w:sz w:val="22"/>
          <w:szCs w:val="22"/>
        </w:rPr>
        <w:t xml:space="preserve"> </w:t>
      </w:r>
      <w:r>
        <w:rPr>
          <w:rStyle w:val="Teksttreci2"/>
          <w:rFonts w:eastAsia="Tahoma"/>
          <w:color w:val="auto"/>
          <w:sz w:val="22"/>
          <w:szCs w:val="22"/>
        </w:rPr>
        <w:t>(„</w:t>
      </w:r>
      <w:r>
        <w:rPr>
          <w:rStyle w:val="Teksttreci2"/>
          <w:rFonts w:eastAsia="Tahoma"/>
          <w:b/>
          <w:bCs/>
          <w:color w:val="auto"/>
          <w:sz w:val="22"/>
          <w:szCs w:val="22"/>
        </w:rPr>
        <w:t>KSUA 3000 (Z)</w:t>
      </w:r>
      <w:r>
        <w:rPr>
          <w:rStyle w:val="Teksttreci2"/>
          <w:rFonts w:eastAsia="Tahoma"/>
          <w:color w:val="auto"/>
          <w:sz w:val="22"/>
          <w:szCs w:val="22"/>
        </w:rPr>
        <w:t>”). Zwracamy uwagę, że w części I Programu pt. „Definicje” usługa atestacyjna została zdefiniowana jako usługa świadczona zgodnie z krajowymi standardami badania przyjętymi przez Krajową Radę Biegłych Rewidentów, co stanowi oczywistą pomyłkę pisarską, gdyż właściwymi standardami do wykonywania usług atestacyjnych są  krajowe standardy usług atestacyjnych i ten fakt został potwierdzony podczas spotkania roboczego  pomiędzy Operatorem Programu, ministrem właściwym ds. gospodarki będącym Dysponentem Programu oraz Polską Izbą Biegłych Rewidentów. Potwierdzeniu podlegał także racjonalny poziom pewności dla tych usług.</w:t>
      </w:r>
    </w:p>
    <w:p w14:paraId="1753483F" w14:textId="77777777" w:rsidR="0099206D" w:rsidRDefault="00FD00E8">
      <w:pPr>
        <w:spacing w:before="240" w:line="240" w:lineRule="auto"/>
        <w:jc w:val="both"/>
        <w:rPr>
          <w:rStyle w:val="Teksttreci2"/>
          <w:rFonts w:eastAsia="Tahoma"/>
          <w:color w:val="auto"/>
          <w:sz w:val="22"/>
          <w:szCs w:val="22"/>
        </w:rPr>
      </w:pPr>
      <w:r>
        <w:rPr>
          <w:rStyle w:val="Teksttreci2"/>
          <w:rFonts w:eastAsia="Tahoma"/>
          <w:color w:val="auto"/>
          <w:sz w:val="22"/>
          <w:szCs w:val="22"/>
        </w:rPr>
        <w:t xml:space="preserve">W drugiej edycji mamy do czynienia z następującymi </w:t>
      </w:r>
      <w:r>
        <w:rPr>
          <w:rStyle w:val="Teksttreci2"/>
          <w:rFonts w:eastAsia="Tahoma"/>
          <w:b/>
          <w:bCs/>
          <w:color w:val="auto"/>
          <w:sz w:val="22"/>
          <w:szCs w:val="22"/>
        </w:rPr>
        <w:t>usługami atestacyjnymi dającymi racjonalną pewność</w:t>
      </w:r>
      <w:r>
        <w:rPr>
          <w:rStyle w:val="Teksttreci2"/>
          <w:rFonts w:eastAsia="Tahoma"/>
          <w:color w:val="auto"/>
          <w:sz w:val="22"/>
          <w:szCs w:val="22"/>
        </w:rPr>
        <w:t xml:space="preserve">: </w:t>
      </w:r>
    </w:p>
    <w:p w14:paraId="7107653C" w14:textId="77777777" w:rsidR="0099206D" w:rsidRDefault="00FD00E8" w:rsidP="00C501BE">
      <w:pPr>
        <w:pStyle w:val="Akapitzlist"/>
        <w:numPr>
          <w:ilvl w:val="0"/>
          <w:numId w:val="22"/>
        </w:numPr>
        <w:spacing w:before="120" w:line="240" w:lineRule="auto"/>
        <w:ind w:left="284" w:hanging="284"/>
        <w:rPr>
          <w:rStyle w:val="Teksttreci2"/>
          <w:rFonts w:eastAsia="Tahoma"/>
          <w:color w:val="auto"/>
          <w:sz w:val="22"/>
          <w:szCs w:val="22"/>
        </w:rPr>
      </w:pPr>
      <w:r>
        <w:rPr>
          <w:rStyle w:val="Teksttreci2"/>
          <w:rFonts w:eastAsia="Tahoma"/>
          <w:color w:val="auto"/>
          <w:sz w:val="22"/>
          <w:szCs w:val="22"/>
        </w:rPr>
        <w:t xml:space="preserve">w ramach </w:t>
      </w:r>
      <w:r>
        <w:rPr>
          <w:rStyle w:val="Teksttreci2"/>
          <w:rFonts w:eastAsia="Tahoma"/>
          <w:b/>
          <w:bCs/>
          <w:color w:val="auto"/>
          <w:sz w:val="22"/>
          <w:szCs w:val="22"/>
        </w:rPr>
        <w:t xml:space="preserve">pomocy podstawowej </w:t>
      </w:r>
      <w:r>
        <w:rPr>
          <w:rStyle w:val="Teksttreci2"/>
          <w:rFonts w:eastAsia="Tahoma"/>
          <w:color w:val="auto"/>
          <w:sz w:val="22"/>
          <w:szCs w:val="22"/>
        </w:rPr>
        <w:t>(bez zmian w stosunku do poprzedniej edycji)</w:t>
      </w:r>
      <w:r>
        <w:rPr>
          <w:rStyle w:val="Teksttreci2"/>
          <w:rFonts w:eastAsia="Tahoma"/>
          <w:b/>
          <w:bCs/>
          <w:color w:val="auto"/>
          <w:sz w:val="22"/>
          <w:szCs w:val="22"/>
        </w:rPr>
        <w:t xml:space="preserve">: </w:t>
      </w:r>
    </w:p>
    <w:p w14:paraId="43C3B285" w14:textId="77777777" w:rsidR="0099206D" w:rsidRDefault="0099206D">
      <w:pPr>
        <w:pStyle w:val="Akapitzlist"/>
        <w:spacing w:before="120" w:line="240" w:lineRule="auto"/>
        <w:ind w:left="1077"/>
        <w:rPr>
          <w:rStyle w:val="Teksttreci2"/>
          <w:rFonts w:eastAsia="Tahoma"/>
          <w:color w:val="auto"/>
          <w:sz w:val="22"/>
          <w:szCs w:val="22"/>
        </w:rPr>
      </w:pPr>
    </w:p>
    <w:p w14:paraId="45A47EBE" w14:textId="2DFAD9B8" w:rsidR="0099206D" w:rsidRDefault="00FD00E8" w:rsidP="00C501BE">
      <w:pPr>
        <w:pStyle w:val="Akapitzlist"/>
        <w:numPr>
          <w:ilvl w:val="0"/>
          <w:numId w:val="30"/>
        </w:numPr>
        <w:spacing w:before="120" w:after="240" w:line="240" w:lineRule="auto"/>
        <w:ind w:left="567" w:hanging="283"/>
        <w:jc w:val="both"/>
        <w:rPr>
          <w:rStyle w:val="Teksttreci2"/>
          <w:rFonts w:eastAsia="Tahoma"/>
          <w:color w:val="auto"/>
          <w:sz w:val="22"/>
          <w:szCs w:val="22"/>
        </w:rPr>
      </w:pPr>
      <w:r>
        <w:rPr>
          <w:rStyle w:val="Teksttreci2"/>
          <w:rFonts w:eastAsia="Tahoma"/>
          <w:color w:val="auto"/>
          <w:sz w:val="22"/>
          <w:szCs w:val="22"/>
        </w:rPr>
        <w:t xml:space="preserve">Usługa kończąca się wydaniem </w:t>
      </w:r>
      <w:r>
        <w:rPr>
          <w:rStyle w:val="Teksttreci2"/>
          <w:rFonts w:eastAsia="Tahoma"/>
          <w:b/>
          <w:bCs/>
          <w:color w:val="auto"/>
          <w:sz w:val="22"/>
          <w:szCs w:val="22"/>
        </w:rPr>
        <w:t>Raportu 1</w:t>
      </w:r>
      <w:r>
        <w:rPr>
          <w:rStyle w:val="Teksttreci2"/>
          <w:rFonts w:eastAsia="Tahoma"/>
          <w:color w:val="auto"/>
          <w:sz w:val="22"/>
          <w:szCs w:val="22"/>
        </w:rPr>
        <w:t xml:space="preserve">, który dołączany jest na etapie składania </w:t>
      </w:r>
      <w:r>
        <w:rPr>
          <w:rStyle w:val="Teksttreci2"/>
          <w:rFonts w:eastAsia="Tahoma"/>
          <w:color w:val="auto"/>
          <w:sz w:val="22"/>
          <w:szCs w:val="22"/>
          <w:u w:val="single"/>
        </w:rPr>
        <w:t>wniosku</w:t>
      </w:r>
      <w:r>
        <w:rPr>
          <w:rStyle w:val="Teksttreci2"/>
          <w:rFonts w:eastAsia="Tahoma"/>
          <w:color w:val="auto"/>
          <w:sz w:val="22"/>
          <w:szCs w:val="22"/>
        </w:rPr>
        <w:t xml:space="preserve"> przez Beneficjenta. Usługa atestacyjna dotyczy </w:t>
      </w:r>
      <w:r>
        <w:rPr>
          <w:rStyle w:val="Teksttreci2"/>
          <w:rFonts w:eastAsia="Tahoma"/>
          <w:color w:val="auto"/>
          <w:sz w:val="22"/>
          <w:szCs w:val="22"/>
          <w:u w:val="single"/>
        </w:rPr>
        <w:t>Sprawozdania Beneficjenta</w:t>
      </w:r>
      <w:r>
        <w:rPr>
          <w:rStyle w:val="Teksttreci2"/>
          <w:rFonts w:eastAsia="Tahoma"/>
          <w:color w:val="auto"/>
          <w:sz w:val="22"/>
          <w:szCs w:val="22"/>
        </w:rPr>
        <w:t xml:space="preserve"> sporządzonego wg wzoru ogłoszonego w BIP</w:t>
      </w:r>
      <w:r>
        <w:rPr>
          <w:rStyle w:val="Odwoanieprzypisudolnego"/>
          <w:rFonts w:ascii="Times New Roman" w:eastAsia="Tahoma" w:hAnsi="Times New Roman" w:cs="Times New Roman"/>
          <w:lang w:val="pl-PL" w:eastAsia="pl-PL" w:bidi="pl-PL"/>
        </w:rPr>
        <w:footnoteReference w:id="6"/>
      </w:r>
      <w:r>
        <w:rPr>
          <w:rStyle w:val="Teksttreci2"/>
          <w:rFonts w:eastAsia="Tahoma"/>
          <w:color w:val="auto"/>
          <w:sz w:val="22"/>
          <w:szCs w:val="22"/>
        </w:rPr>
        <w:t xml:space="preserve"> dla pomocy podstawowej. Sprawozdanie Beneficjenta powinno być sporządzone na wzorze </w:t>
      </w:r>
      <w:r>
        <w:rPr>
          <w:rStyle w:val="Teksttreci2"/>
          <w:rFonts w:eastAsia="Tahoma"/>
          <w:b/>
          <w:bCs/>
          <w:color w:val="auto"/>
          <w:sz w:val="22"/>
          <w:szCs w:val="22"/>
        </w:rPr>
        <w:t xml:space="preserve">Sprawozdanie Beneficjenta dot. pomocy podstawowej </w:t>
      </w:r>
      <w:r>
        <w:rPr>
          <w:rStyle w:val="Teksttreci2"/>
          <w:rFonts w:eastAsia="Tahoma"/>
          <w:color w:val="auto"/>
          <w:sz w:val="22"/>
          <w:szCs w:val="22"/>
        </w:rPr>
        <w:t>wskazanej w w/w ogłoszeniu Operatora Programu jako załącznik „</w:t>
      </w:r>
      <w:r>
        <w:rPr>
          <w:rStyle w:val="Teksttreci2"/>
          <w:rFonts w:eastAsia="Tahoma"/>
          <w:b/>
          <w:bCs/>
          <w:color w:val="auto"/>
          <w:sz w:val="22"/>
          <w:szCs w:val="22"/>
        </w:rPr>
        <w:t>4.</w:t>
      </w:r>
      <w:r>
        <w:rPr>
          <w:rStyle w:val="Teksttreci2"/>
          <w:rFonts w:eastAsia="Tahoma"/>
          <w:color w:val="auto"/>
          <w:sz w:val="22"/>
          <w:szCs w:val="22"/>
        </w:rPr>
        <w:t>2. Sprawozdanie beneficjenta – pomoc podstawowa” stanowiący wymagany zgodnie z Programem załącznik do składanego wniosku o</w:t>
      </w:r>
      <w:r w:rsidR="00BC5A12">
        <w:rPr>
          <w:rStyle w:val="Teksttreci2"/>
          <w:rFonts w:eastAsia="Tahoma"/>
          <w:color w:val="auto"/>
          <w:sz w:val="22"/>
          <w:szCs w:val="22"/>
        </w:rPr>
        <w:t> </w:t>
      </w:r>
      <w:r>
        <w:rPr>
          <w:rStyle w:val="Teksttreci2"/>
          <w:rFonts w:eastAsia="Tahoma"/>
          <w:color w:val="auto"/>
          <w:sz w:val="22"/>
          <w:szCs w:val="22"/>
        </w:rPr>
        <w:t xml:space="preserve">pomoc podstawową. Nie występuje </w:t>
      </w:r>
      <w:r>
        <w:rPr>
          <w:rStyle w:val="Teksttreci2"/>
          <w:rFonts w:eastAsia="Tahoma"/>
          <w:color w:val="auto"/>
          <w:sz w:val="22"/>
          <w:szCs w:val="22"/>
          <w:u w:val="single"/>
        </w:rPr>
        <w:t>rozliczenie</w:t>
      </w:r>
      <w:r>
        <w:rPr>
          <w:rStyle w:val="Teksttreci2"/>
          <w:rFonts w:eastAsia="Tahoma"/>
          <w:color w:val="auto"/>
          <w:sz w:val="22"/>
          <w:szCs w:val="22"/>
        </w:rPr>
        <w:t xml:space="preserve"> pomocy po zakończeniu roku. Raport 1 będzie wydawany osobno odnośnie do każdego z dwóch okresów wnioskowanych.</w:t>
      </w:r>
    </w:p>
    <w:p w14:paraId="529F247A" w14:textId="77777777" w:rsidR="0099206D" w:rsidRDefault="0099206D">
      <w:pPr>
        <w:pStyle w:val="Akapitzlist"/>
        <w:spacing w:after="240" w:line="240" w:lineRule="auto"/>
        <w:ind w:left="1797"/>
        <w:jc w:val="both"/>
        <w:rPr>
          <w:rStyle w:val="Teksttreci2"/>
          <w:rFonts w:eastAsia="Tahoma"/>
          <w:color w:val="auto"/>
          <w:sz w:val="22"/>
          <w:szCs w:val="22"/>
        </w:rPr>
      </w:pPr>
    </w:p>
    <w:p w14:paraId="3E4733E9" w14:textId="77777777" w:rsidR="0099206D" w:rsidRDefault="00FD00E8" w:rsidP="00C501BE">
      <w:pPr>
        <w:pStyle w:val="Akapitzlist"/>
        <w:numPr>
          <w:ilvl w:val="0"/>
          <w:numId w:val="22"/>
        </w:numPr>
        <w:spacing w:before="120" w:line="240" w:lineRule="auto"/>
        <w:ind w:left="284" w:hanging="284"/>
        <w:rPr>
          <w:rStyle w:val="Teksttreci2"/>
          <w:rFonts w:eastAsia="Tahoma"/>
          <w:color w:val="auto"/>
          <w:sz w:val="22"/>
          <w:szCs w:val="22"/>
        </w:rPr>
      </w:pPr>
      <w:r>
        <w:rPr>
          <w:rStyle w:val="Teksttreci2"/>
          <w:rFonts w:eastAsia="Tahoma"/>
          <w:color w:val="auto"/>
          <w:sz w:val="22"/>
          <w:szCs w:val="22"/>
        </w:rPr>
        <w:t xml:space="preserve">w ramach </w:t>
      </w:r>
      <w:r>
        <w:rPr>
          <w:rStyle w:val="Teksttreci2"/>
          <w:rFonts w:eastAsia="Tahoma"/>
          <w:b/>
          <w:bCs/>
          <w:color w:val="auto"/>
          <w:sz w:val="22"/>
          <w:szCs w:val="22"/>
        </w:rPr>
        <w:t xml:space="preserve">pomocy zwiększonej: </w:t>
      </w:r>
    </w:p>
    <w:p w14:paraId="4C9F5872" w14:textId="77777777" w:rsidR="0099206D" w:rsidRDefault="0099206D">
      <w:pPr>
        <w:pStyle w:val="Akapitzlist"/>
        <w:spacing w:before="240" w:line="240" w:lineRule="auto"/>
        <w:ind w:left="1077"/>
        <w:jc w:val="both"/>
        <w:rPr>
          <w:rStyle w:val="Teksttreci2"/>
          <w:rFonts w:eastAsia="Tahoma"/>
          <w:color w:val="auto"/>
          <w:sz w:val="22"/>
          <w:szCs w:val="22"/>
        </w:rPr>
      </w:pPr>
    </w:p>
    <w:p w14:paraId="1810EF59" w14:textId="77777777" w:rsidR="0099206D" w:rsidRDefault="00FD00E8" w:rsidP="00C501BE">
      <w:pPr>
        <w:pStyle w:val="Akapitzlist"/>
        <w:numPr>
          <w:ilvl w:val="0"/>
          <w:numId w:val="30"/>
        </w:numPr>
        <w:spacing w:before="120" w:after="240" w:line="240" w:lineRule="auto"/>
        <w:ind w:left="567" w:hanging="283"/>
        <w:jc w:val="both"/>
        <w:rPr>
          <w:rStyle w:val="Teksttreci2"/>
          <w:rFonts w:eastAsia="Tahoma"/>
          <w:color w:val="auto"/>
          <w:sz w:val="22"/>
          <w:szCs w:val="22"/>
        </w:rPr>
      </w:pPr>
      <w:r>
        <w:rPr>
          <w:rFonts w:ascii="Times New Roman" w:eastAsia="Tahoma" w:hAnsi="Times New Roman"/>
          <w:b/>
          <w:color w:val="000000"/>
          <w:lang w:val="pl-PL" w:eastAsia="pl-PL" w:bidi="pl-PL"/>
        </w:rPr>
        <w:t>Etap I</w:t>
      </w:r>
      <w:r>
        <w:rPr>
          <w:rStyle w:val="Teksttreci2"/>
          <w:rFonts w:eastAsia="Tahoma"/>
          <w:color w:val="auto"/>
          <w:sz w:val="22"/>
          <w:szCs w:val="22"/>
        </w:rPr>
        <w:t xml:space="preserve"> - Usługa kończąca się wydaniem </w:t>
      </w:r>
      <w:r>
        <w:rPr>
          <w:rStyle w:val="Teksttreci2"/>
          <w:rFonts w:eastAsia="Tahoma"/>
          <w:b/>
          <w:bCs/>
          <w:color w:val="auto"/>
          <w:sz w:val="22"/>
          <w:szCs w:val="22"/>
        </w:rPr>
        <w:t xml:space="preserve">Raportu 2, </w:t>
      </w:r>
      <w:r>
        <w:rPr>
          <w:rStyle w:val="Teksttreci2"/>
          <w:rFonts w:eastAsia="Tahoma"/>
          <w:color w:val="auto"/>
          <w:sz w:val="22"/>
          <w:szCs w:val="22"/>
        </w:rPr>
        <w:t>który dołączany jest na etapie składania</w:t>
      </w:r>
      <w:r>
        <w:rPr>
          <w:rStyle w:val="Teksttreci2"/>
          <w:rFonts w:eastAsia="Tahoma"/>
          <w:b/>
          <w:bCs/>
          <w:color w:val="auto"/>
          <w:sz w:val="22"/>
          <w:szCs w:val="22"/>
        </w:rPr>
        <w:t xml:space="preserve"> </w:t>
      </w:r>
      <w:r>
        <w:rPr>
          <w:rStyle w:val="Teksttreci2"/>
          <w:rFonts w:eastAsia="Tahoma"/>
          <w:color w:val="auto"/>
          <w:sz w:val="22"/>
          <w:szCs w:val="22"/>
          <w:u w:val="single"/>
        </w:rPr>
        <w:t>wniosku</w:t>
      </w:r>
      <w:r>
        <w:rPr>
          <w:rStyle w:val="Teksttreci2"/>
          <w:rFonts w:eastAsia="Tahoma"/>
          <w:color w:val="auto"/>
          <w:sz w:val="22"/>
          <w:szCs w:val="22"/>
        </w:rPr>
        <w:t xml:space="preserve"> o pomoc zwiększoną. Usługa dotyczy informacji</w:t>
      </w:r>
      <w:r>
        <w:rPr>
          <w:rStyle w:val="Teksttreci2"/>
          <w:rFonts w:eastAsia="Tahoma"/>
          <w:b/>
          <w:bCs/>
          <w:color w:val="auto"/>
          <w:sz w:val="22"/>
          <w:szCs w:val="22"/>
        </w:rPr>
        <w:t xml:space="preserve"> </w:t>
      </w:r>
      <w:r>
        <w:rPr>
          <w:rStyle w:val="Teksttreci2"/>
          <w:rFonts w:eastAsia="Tahoma"/>
          <w:color w:val="auto"/>
          <w:sz w:val="22"/>
          <w:szCs w:val="22"/>
        </w:rPr>
        <w:t>Beneficjenta w zakresie udowodnienia spełnienia warunku, iż w ostatnim zamkniętym</w:t>
      </w:r>
      <w:r>
        <w:rPr>
          <w:rStyle w:val="Odwoanieprzypisudolnego"/>
          <w:rFonts w:ascii="Times New Roman" w:eastAsia="Tahoma" w:hAnsi="Times New Roman" w:cs="Times New Roman"/>
          <w:lang w:val="pl-PL" w:eastAsia="pl-PL" w:bidi="pl-PL"/>
        </w:rPr>
        <w:footnoteReference w:id="7"/>
      </w:r>
      <w:r>
        <w:rPr>
          <w:rStyle w:val="Teksttreci2"/>
          <w:rFonts w:eastAsia="Tahoma"/>
          <w:color w:val="auto"/>
          <w:sz w:val="22"/>
          <w:szCs w:val="22"/>
        </w:rPr>
        <w:t xml:space="preserve"> roku obrotowym Wnioskodawca osiągnął łącznie co najmniej 50% przychodu w jednej lub łącznie kilku podklasach PKD lub kodach PRODCOM, znajdujących się na listach w części XVI Programu („</w:t>
      </w:r>
      <w:r>
        <w:rPr>
          <w:rStyle w:val="Teksttreci2"/>
          <w:rFonts w:eastAsia="Tahoma"/>
          <w:b/>
          <w:bCs/>
          <w:color w:val="auto"/>
          <w:sz w:val="22"/>
          <w:szCs w:val="22"/>
        </w:rPr>
        <w:t>Informacja Beneficjenta</w:t>
      </w:r>
      <w:r>
        <w:rPr>
          <w:rStyle w:val="Teksttreci2"/>
          <w:rFonts w:eastAsia="Tahoma"/>
          <w:color w:val="auto"/>
          <w:sz w:val="22"/>
          <w:szCs w:val="22"/>
        </w:rPr>
        <w:t xml:space="preserve">”). </w:t>
      </w:r>
    </w:p>
    <w:p w14:paraId="5CBAEC51" w14:textId="77777777" w:rsidR="0099206D" w:rsidRDefault="0099206D">
      <w:pPr>
        <w:pStyle w:val="Akapitzlist"/>
        <w:spacing w:line="240" w:lineRule="auto"/>
        <w:ind w:left="1800"/>
        <w:jc w:val="both"/>
        <w:rPr>
          <w:rStyle w:val="Teksttreci2"/>
          <w:rFonts w:eastAsia="Tahoma"/>
          <w:color w:val="auto"/>
          <w:sz w:val="22"/>
          <w:szCs w:val="22"/>
        </w:rPr>
      </w:pPr>
    </w:p>
    <w:p w14:paraId="0A08C81B" w14:textId="6126C9D0" w:rsidR="0099206D" w:rsidRDefault="00FD00E8" w:rsidP="00C501BE">
      <w:pPr>
        <w:pStyle w:val="Akapitzlist"/>
        <w:numPr>
          <w:ilvl w:val="0"/>
          <w:numId w:val="30"/>
        </w:numPr>
        <w:spacing w:before="120" w:after="240" w:line="240" w:lineRule="auto"/>
        <w:ind w:left="567" w:hanging="283"/>
        <w:jc w:val="both"/>
        <w:rPr>
          <w:rStyle w:val="Teksttreci2"/>
          <w:rFonts w:eastAsia="Tahoma"/>
          <w:color w:val="auto"/>
          <w:sz w:val="22"/>
          <w:szCs w:val="22"/>
        </w:rPr>
      </w:pPr>
      <w:r>
        <w:rPr>
          <w:rFonts w:ascii="Times New Roman" w:eastAsia="Tahoma" w:hAnsi="Times New Roman"/>
          <w:b/>
          <w:color w:val="000000"/>
          <w:lang w:val="pl-PL" w:eastAsia="pl-PL" w:bidi="pl-PL"/>
        </w:rPr>
        <w:t>Etap I</w:t>
      </w:r>
      <w:r>
        <w:rPr>
          <w:rStyle w:val="Teksttreci2"/>
          <w:rFonts w:eastAsia="Tahoma"/>
          <w:b/>
          <w:bCs/>
          <w:color w:val="auto"/>
          <w:sz w:val="22"/>
          <w:szCs w:val="22"/>
        </w:rPr>
        <w:t>I</w:t>
      </w:r>
      <w:r>
        <w:rPr>
          <w:rStyle w:val="Teksttreci2"/>
          <w:rFonts w:eastAsia="Tahoma"/>
          <w:color w:val="auto"/>
          <w:sz w:val="22"/>
          <w:szCs w:val="22"/>
        </w:rPr>
        <w:t xml:space="preserve"> - Usługa kończąca się wydaniem </w:t>
      </w:r>
      <w:r>
        <w:rPr>
          <w:rStyle w:val="Teksttreci2"/>
          <w:rFonts w:eastAsia="Tahoma"/>
          <w:b/>
          <w:bCs/>
          <w:color w:val="auto"/>
          <w:sz w:val="22"/>
          <w:szCs w:val="22"/>
        </w:rPr>
        <w:t>Raportu 3,</w:t>
      </w:r>
      <w:r>
        <w:rPr>
          <w:rStyle w:val="Teksttreci2"/>
          <w:rFonts w:eastAsia="Tahoma"/>
          <w:color w:val="auto"/>
          <w:sz w:val="22"/>
          <w:szCs w:val="22"/>
        </w:rPr>
        <w:t xml:space="preserve"> który dołączany jest na etapie </w:t>
      </w:r>
      <w:r>
        <w:rPr>
          <w:rStyle w:val="Teksttreci2"/>
          <w:rFonts w:eastAsia="Tahoma"/>
          <w:color w:val="auto"/>
          <w:sz w:val="22"/>
          <w:szCs w:val="22"/>
          <w:u w:val="single"/>
        </w:rPr>
        <w:t xml:space="preserve">rozliczenia </w:t>
      </w:r>
      <w:r>
        <w:rPr>
          <w:rStyle w:val="Teksttreci2"/>
          <w:rFonts w:eastAsia="Tahoma"/>
          <w:color w:val="auto"/>
          <w:sz w:val="22"/>
          <w:szCs w:val="22"/>
        </w:rPr>
        <w:t>pomocy zwiększonej. Usługa dotyczy Sprawozdania Beneficjenta sporządzonego wg wzoru ogłoszonego w BIP</w:t>
      </w:r>
      <w:r>
        <w:rPr>
          <w:rStyle w:val="Odwoanieprzypisudolnego"/>
          <w:rFonts w:ascii="Times New Roman" w:eastAsia="Tahoma" w:hAnsi="Times New Roman" w:cs="Times New Roman"/>
          <w:lang w:val="pl-PL" w:eastAsia="pl-PL" w:bidi="pl-PL"/>
        </w:rPr>
        <w:footnoteReference w:id="8"/>
      </w:r>
      <w:r>
        <w:rPr>
          <w:rStyle w:val="Teksttreci2"/>
          <w:rFonts w:eastAsia="Tahoma"/>
          <w:color w:val="auto"/>
          <w:sz w:val="22"/>
          <w:szCs w:val="22"/>
        </w:rPr>
        <w:t xml:space="preserve"> dla pomocy zwiększonej. Sprawozdanie Beneficjenta powinno być sporządzone na wzorze </w:t>
      </w:r>
      <w:r>
        <w:rPr>
          <w:rStyle w:val="Teksttreci2"/>
          <w:rFonts w:eastAsia="Tahoma"/>
          <w:b/>
          <w:bCs/>
          <w:color w:val="auto"/>
          <w:sz w:val="22"/>
          <w:szCs w:val="22"/>
        </w:rPr>
        <w:t xml:space="preserve">Sprawozdanie Beneficjenta dot. pomocy zwiększonej </w:t>
      </w:r>
      <w:r>
        <w:rPr>
          <w:rStyle w:val="Teksttreci2"/>
          <w:rFonts w:eastAsia="Tahoma"/>
          <w:color w:val="auto"/>
          <w:sz w:val="22"/>
          <w:szCs w:val="22"/>
        </w:rPr>
        <w:t>wskazanej w</w:t>
      </w:r>
      <w:r w:rsidR="00BC5A12">
        <w:rPr>
          <w:rStyle w:val="Teksttreci2"/>
          <w:rFonts w:eastAsia="Tahoma"/>
          <w:color w:val="auto"/>
          <w:sz w:val="22"/>
          <w:szCs w:val="22"/>
        </w:rPr>
        <w:t> </w:t>
      </w:r>
      <w:r>
        <w:rPr>
          <w:rStyle w:val="Teksttreci2"/>
          <w:rFonts w:eastAsia="Tahoma"/>
          <w:color w:val="auto"/>
          <w:sz w:val="22"/>
          <w:szCs w:val="22"/>
        </w:rPr>
        <w:t>w/w ogłoszeniu Operatora Programu jako załącznik „</w:t>
      </w:r>
      <w:r>
        <w:rPr>
          <w:rStyle w:val="Teksttreci2"/>
          <w:rFonts w:eastAsia="Tahoma"/>
          <w:b/>
          <w:bCs/>
          <w:color w:val="auto"/>
          <w:sz w:val="22"/>
          <w:szCs w:val="22"/>
        </w:rPr>
        <w:t>8.</w:t>
      </w:r>
      <w:r>
        <w:rPr>
          <w:rStyle w:val="Teksttreci2"/>
          <w:rFonts w:eastAsia="Tahoma"/>
          <w:color w:val="auto"/>
          <w:sz w:val="22"/>
          <w:szCs w:val="22"/>
        </w:rPr>
        <w:t>2. Sprawozdanie beneficjenta – pomoc zwiększona”, stanowiący wymagany zgodnie z Programem załącznik do składanego rozliczenia pomocy zwiększonej.</w:t>
      </w:r>
    </w:p>
    <w:p w14:paraId="0DF15DC6" w14:textId="77777777" w:rsidR="0099206D" w:rsidRDefault="00FD00E8" w:rsidP="00D514E0">
      <w:pPr>
        <w:pStyle w:val="Akapitzlist"/>
        <w:numPr>
          <w:ilvl w:val="0"/>
          <w:numId w:val="1"/>
        </w:numPr>
        <w:spacing w:line="240" w:lineRule="auto"/>
        <w:ind w:left="567" w:hanging="567"/>
        <w:rPr>
          <w:rFonts w:ascii="Times New Roman" w:eastAsia="Tahoma" w:hAnsi="Times New Roman"/>
          <w:b/>
          <w:bCs/>
          <w:color w:val="000000"/>
          <w:lang w:val="pl-PL" w:eastAsia="pl-PL" w:bidi="pl-PL"/>
        </w:rPr>
      </w:pPr>
      <w:r>
        <w:rPr>
          <w:rFonts w:ascii="Times New Roman" w:eastAsia="Tahoma" w:hAnsi="Times New Roman"/>
          <w:b/>
          <w:bCs/>
          <w:color w:val="000000"/>
          <w:lang w:val="pl-PL" w:eastAsia="pl-PL" w:bidi="pl-PL"/>
        </w:rPr>
        <w:br w:type="page"/>
      </w:r>
      <w:r>
        <w:rPr>
          <w:rFonts w:ascii="Times New Roman" w:eastAsia="Tahoma" w:hAnsi="Times New Roman"/>
          <w:b/>
          <w:bCs/>
          <w:color w:val="000000"/>
          <w:lang w:val="pl-PL" w:eastAsia="pl-PL" w:bidi="pl-PL"/>
        </w:rPr>
        <w:lastRenderedPageBreak/>
        <w:t>PRZEPROWADZENIE USŁUG PRZEZ BIEGŁEGO REWIDENTA</w:t>
      </w:r>
    </w:p>
    <w:p w14:paraId="7FA71D9D" w14:textId="77777777" w:rsidR="0099206D" w:rsidRDefault="00FD00E8">
      <w:pPr>
        <w:pStyle w:val="IFACListStyle1"/>
        <w:numPr>
          <w:ilvl w:val="0"/>
          <w:numId w:val="18"/>
        </w:numPr>
        <w:tabs>
          <w:tab w:val="clear" w:pos="547"/>
        </w:tabs>
        <w:spacing w:line="240" w:lineRule="auto"/>
        <w:ind w:left="426" w:hanging="426"/>
        <w:rPr>
          <w:rStyle w:val="Teksttreci2"/>
          <w:rFonts w:eastAsia="Tahoma"/>
          <w:b/>
          <w:bCs/>
          <w:kern w:val="0"/>
          <w:sz w:val="22"/>
          <w:szCs w:val="22"/>
        </w:rPr>
      </w:pPr>
      <w:r>
        <w:rPr>
          <w:rFonts w:ascii="Times New Roman" w:eastAsia="Tahoma" w:hAnsi="Times New Roman"/>
          <w:b/>
          <w:bCs/>
          <w:iCs/>
          <w:color w:val="000000"/>
          <w:sz w:val="22"/>
          <w:szCs w:val="22"/>
          <w:lang w:val="pl-PL" w:eastAsia="pl-PL" w:bidi="pl-PL"/>
        </w:rPr>
        <w:t>Odpowiedzialność zarządu</w:t>
      </w:r>
    </w:p>
    <w:p w14:paraId="49280213" w14:textId="77777777"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Za przygotowanie Informacji Beneficjenta lub Sprawozdania Beneficjenta, odpowiednio do zakresu wnioskowanej pomocy, jest odpowiedzialny kierownik Wnioskodawcy. Informacja Beneficjenta lub Sprawozdanie Beneficjenta przygotowane są zgodnie z podstawą sporządzenia, która uwzględnia obowiązujące Wnioskodawcę przepisy prawa („</w:t>
      </w:r>
      <w:r>
        <w:rPr>
          <w:rFonts w:ascii="Times New Roman" w:eastAsia="Tahoma" w:hAnsi="Times New Roman"/>
          <w:b/>
          <w:color w:val="000000"/>
          <w:sz w:val="22"/>
          <w:szCs w:val="22"/>
          <w:lang w:val="pl-PL" w:eastAsia="pl-PL" w:bidi="pl-PL"/>
        </w:rPr>
        <w:t>Podstawa Sporządzenia</w:t>
      </w:r>
      <w:r>
        <w:rPr>
          <w:rFonts w:ascii="Times New Roman" w:eastAsia="Tahoma" w:hAnsi="Times New Roman"/>
          <w:bCs/>
          <w:color w:val="000000"/>
          <w:sz w:val="22"/>
          <w:szCs w:val="22"/>
          <w:lang w:val="pl-PL" w:eastAsia="pl-PL" w:bidi="pl-PL"/>
        </w:rPr>
        <w:t xml:space="preserve">”), a także wymogi określone w Programie. Za przyjęcie Podstawy Sporządzenia odpowiedzialny jest kierownik Wnioskodawcy. Podstawa Sporządzenia stanowi kryterium, wobec którego biegły rewident dokonuje oceny tych dokumentów i jest załączana do Informacji Beneficjenta lub Sprawozdania Beneficjenta. </w:t>
      </w:r>
    </w:p>
    <w:p w14:paraId="1EE47E6D" w14:textId="77777777" w:rsidR="0099206D" w:rsidRDefault="00FD00E8">
      <w:pPr>
        <w:pStyle w:val="Bezodstpw"/>
        <w:numPr>
          <w:ilvl w:val="0"/>
          <w:numId w:val="0"/>
        </w:numPr>
        <w:spacing w:line="240" w:lineRule="auto"/>
        <w:rPr>
          <w:rFonts w:ascii="Times New Roman" w:eastAsia="Tahoma" w:hAnsi="Times New Roman"/>
          <w:sz w:val="20"/>
          <w:szCs w:val="20"/>
          <w:u w:val="single"/>
          <w:lang w:eastAsia="pl-PL" w:bidi="pl-PL"/>
        </w:rPr>
      </w:pPr>
      <w:r>
        <w:rPr>
          <w:rFonts w:ascii="Times New Roman" w:eastAsia="Tahoma" w:hAnsi="Times New Roman"/>
          <w:bCs/>
          <w:color w:val="000000"/>
          <w:sz w:val="22"/>
          <w:lang w:eastAsia="pl-PL" w:bidi="pl-PL"/>
        </w:rPr>
        <w:t xml:space="preserve">Podstawa Sporządzenia zawarta w Sprawozdaniu Beneficjenta powinna obejmować jako minimum opis wskazany w kolumnie D pt. </w:t>
      </w:r>
      <w:r>
        <w:rPr>
          <w:rFonts w:ascii="Times New Roman" w:eastAsia="Tahoma" w:hAnsi="Times New Roman"/>
          <w:bCs/>
          <w:i/>
          <w:iCs/>
          <w:color w:val="000000"/>
          <w:sz w:val="22"/>
          <w:lang w:eastAsia="pl-PL" w:bidi="pl-PL"/>
        </w:rPr>
        <w:t>„Uszczegółowienie (dopuszczalne również w formie załącznika)”</w:t>
      </w:r>
      <w:r>
        <w:rPr>
          <w:rFonts w:ascii="Times New Roman" w:eastAsia="Tahoma" w:hAnsi="Times New Roman"/>
          <w:bCs/>
          <w:color w:val="000000"/>
          <w:sz w:val="22"/>
          <w:lang w:eastAsia="pl-PL" w:bidi="pl-PL"/>
        </w:rPr>
        <w:t xml:space="preserve"> w/w wzoru oraz wszelkie doprecyzowania, które okażą się konieczne. Należy wskazać, że kolumna B pt. „</w:t>
      </w:r>
      <w:r>
        <w:rPr>
          <w:rFonts w:ascii="Times New Roman" w:eastAsia="Tahoma" w:hAnsi="Times New Roman"/>
          <w:bCs/>
          <w:i/>
          <w:iCs/>
          <w:color w:val="000000"/>
          <w:sz w:val="22"/>
          <w:lang w:eastAsia="pl-PL" w:bidi="pl-PL"/>
        </w:rPr>
        <w:t>Zakres</w:t>
      </w:r>
      <w:r>
        <w:rPr>
          <w:rFonts w:ascii="Times New Roman" w:eastAsia="Tahoma" w:hAnsi="Times New Roman"/>
          <w:bCs/>
          <w:color w:val="000000"/>
          <w:sz w:val="22"/>
          <w:lang w:eastAsia="pl-PL" w:bidi="pl-PL"/>
        </w:rPr>
        <w:t>” Sprawozdania Beneficjenta zawiera kategorie bezpośrednio odnoszące się do sformułowań użytych w Programie, natomiast kolumna D wyjaśnia obowiązki informacyjne Beneficjenta w zakresie tych kategorii. Oświadczenia Beneficjenta umieszczone w części 1 pt.</w:t>
      </w:r>
      <w:r>
        <w:rPr>
          <w:rFonts w:ascii="Times New Roman" w:eastAsia="Tahoma" w:hAnsi="Times New Roman"/>
          <w:bCs/>
          <w:i/>
          <w:iCs/>
          <w:color w:val="000000"/>
          <w:sz w:val="22"/>
          <w:lang w:eastAsia="pl-PL" w:bidi="pl-PL"/>
        </w:rPr>
        <w:t xml:space="preserve"> „Informacje ogólne”</w:t>
      </w:r>
      <w:r>
        <w:rPr>
          <w:rFonts w:ascii="Times New Roman" w:eastAsia="Tahoma" w:hAnsi="Times New Roman"/>
          <w:bCs/>
          <w:color w:val="000000"/>
          <w:sz w:val="22"/>
          <w:lang w:eastAsia="pl-PL" w:bidi="pl-PL"/>
        </w:rPr>
        <w:t xml:space="preserve"> tego Sprawozdania nie są objęte usługami atestacyjnymi biegłego rewidenta kończącymi się wydaniem Raportu 1 i Raportu 3</w:t>
      </w:r>
      <w:r>
        <w:rPr>
          <w:rStyle w:val="Teksttreci2"/>
          <w:rFonts w:eastAsia="Tahoma"/>
          <w:color w:val="auto"/>
          <w:sz w:val="22"/>
          <w:szCs w:val="22"/>
        </w:rPr>
        <w:t>.</w:t>
      </w:r>
    </w:p>
    <w:p w14:paraId="3ED2E82D" w14:textId="77777777" w:rsidR="0099206D" w:rsidRDefault="00FD00E8" w:rsidP="00D514E0">
      <w:pPr>
        <w:pStyle w:val="IFACListStyle1"/>
        <w:spacing w:after="240"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Odpowiedzialność kierownika Beneficjenta obejmuje również zaprojektowanie, wdrożenie i utrzymanie systemu kontroli wewnętrznej odnoszącego się do sporządzenia odpowiednio Informacji Beneficjenta lub Sprawozdania Beneficjenta, wolnego od istotnych zniekształceń spowodowanych oszustwem lub błędem.</w:t>
      </w:r>
    </w:p>
    <w:p w14:paraId="3C21D240" w14:textId="77777777" w:rsidR="0099206D" w:rsidRDefault="00FD00E8">
      <w:pPr>
        <w:pStyle w:val="IFACListStyle1"/>
        <w:numPr>
          <w:ilvl w:val="0"/>
          <w:numId w:val="18"/>
        </w:numPr>
        <w:tabs>
          <w:tab w:val="clear" w:pos="547"/>
          <w:tab w:val="left" w:pos="426"/>
        </w:tabs>
        <w:spacing w:line="240" w:lineRule="auto"/>
        <w:ind w:left="709"/>
        <w:rPr>
          <w:rFonts w:ascii="Times New Roman" w:eastAsia="Tahoma" w:hAnsi="Times New Roman"/>
          <w:bCs/>
          <w:color w:val="000000"/>
          <w:sz w:val="22"/>
          <w:szCs w:val="22"/>
          <w:lang w:val="pl-PL" w:eastAsia="pl-PL" w:bidi="pl-PL"/>
        </w:rPr>
      </w:pPr>
      <w:r>
        <w:rPr>
          <w:rFonts w:ascii="Times New Roman" w:eastAsia="Tahoma" w:hAnsi="Times New Roman"/>
          <w:b/>
          <w:bCs/>
          <w:iCs/>
          <w:color w:val="000000"/>
          <w:sz w:val="22"/>
          <w:szCs w:val="22"/>
          <w:lang w:val="pl-PL" w:eastAsia="pl-PL" w:bidi="pl-PL"/>
        </w:rPr>
        <w:t>Obowiązki biegłego rewidenta</w:t>
      </w:r>
    </w:p>
    <w:p w14:paraId="788BBB29" w14:textId="2841C1B6"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 xml:space="preserve">W stosunku do podstawowej pomocy biegły rewident przeprowadza niezależną usługę atestacyjną dającą racjonalną pewność, </w:t>
      </w:r>
      <w:r w:rsidR="00675B21">
        <w:rPr>
          <w:rFonts w:ascii="Times New Roman" w:eastAsia="Tahoma" w:hAnsi="Times New Roman"/>
          <w:bCs/>
          <w:color w:val="000000"/>
          <w:sz w:val="22"/>
          <w:szCs w:val="22"/>
          <w:lang w:val="pl-PL" w:eastAsia="pl-PL" w:bidi="pl-PL"/>
        </w:rPr>
        <w:t>zakończoną wydaniem</w:t>
      </w:r>
      <w:r>
        <w:rPr>
          <w:rFonts w:ascii="Times New Roman" w:eastAsia="Tahoma" w:hAnsi="Times New Roman"/>
          <w:bCs/>
          <w:color w:val="000000"/>
          <w:sz w:val="22"/>
          <w:szCs w:val="22"/>
          <w:lang w:val="pl-PL" w:eastAsia="pl-PL" w:bidi="pl-PL"/>
        </w:rPr>
        <w:t xml:space="preserve"> opini</w:t>
      </w:r>
      <w:r w:rsidR="00675B21">
        <w:rPr>
          <w:rFonts w:ascii="Times New Roman" w:eastAsia="Tahoma" w:hAnsi="Times New Roman"/>
          <w:bCs/>
          <w:color w:val="000000"/>
          <w:sz w:val="22"/>
          <w:szCs w:val="22"/>
          <w:lang w:val="pl-PL" w:eastAsia="pl-PL" w:bidi="pl-PL"/>
        </w:rPr>
        <w:t>i</w:t>
      </w:r>
      <w:r>
        <w:rPr>
          <w:rFonts w:ascii="Times New Roman" w:eastAsia="Tahoma" w:hAnsi="Times New Roman"/>
          <w:bCs/>
          <w:color w:val="000000"/>
          <w:sz w:val="22"/>
          <w:szCs w:val="22"/>
          <w:lang w:val="pl-PL" w:eastAsia="pl-PL" w:bidi="pl-PL"/>
        </w:rPr>
        <w:t xml:space="preserve"> o Sprawozdaniu Beneficjenta (Raport 1) osobno za kolejne dwa okresy wnioskowane. Natomiast w stosunku do zwiększonej pomocy usługa została podzielona na dwa etapy, o których była mowa powyżej w pkt II.3, kończące się także wydaniem osobnych raportów dotyczących odpowiednio Informacji Beneficjenta (Raport 2) oraz Sprawozdania Beneficjenta (Raport 3). W stosunku do pomocy zwiększonej biegły rewident również przeprowadza niezależną usługę atestacyjna dającą racjonalną pewność.</w:t>
      </w:r>
    </w:p>
    <w:p w14:paraId="239812E6" w14:textId="550FB9F6"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u w:val="single"/>
          <w:lang w:val="pl-PL" w:eastAsia="pl-PL" w:bidi="pl-PL"/>
        </w:rPr>
        <w:t xml:space="preserve">Powiązanie usługi za pierwszy okres wnioskowany (pierwsza usługa) z usługą za drugi okres wnioskowany (druga usługa) dotyczących podstawowej pomocy, a także usługi z etapu I (pierwsza usługa) z usługą z etapu II (druga usługa) dotyczących zwiększonej pomocy wpływa na rodzaj, rozłożenie w czasie i zakres procedur </w:t>
      </w:r>
      <w:r w:rsidR="00675B21">
        <w:rPr>
          <w:rFonts w:ascii="Times New Roman" w:eastAsia="Tahoma" w:hAnsi="Times New Roman"/>
          <w:bCs/>
          <w:color w:val="000000"/>
          <w:sz w:val="22"/>
          <w:szCs w:val="22"/>
          <w:u w:val="single"/>
          <w:lang w:val="pl-PL" w:eastAsia="pl-PL" w:bidi="pl-PL"/>
        </w:rPr>
        <w:t xml:space="preserve">wykonywanych </w:t>
      </w:r>
      <w:r>
        <w:rPr>
          <w:rFonts w:ascii="Times New Roman" w:eastAsia="Tahoma" w:hAnsi="Times New Roman"/>
          <w:bCs/>
          <w:color w:val="000000"/>
          <w:sz w:val="22"/>
          <w:szCs w:val="22"/>
          <w:u w:val="single"/>
          <w:lang w:val="pl-PL" w:eastAsia="pl-PL" w:bidi="pl-PL"/>
        </w:rPr>
        <w:t xml:space="preserve">przez biegłego rewidenta. </w:t>
      </w:r>
      <w:r>
        <w:rPr>
          <w:rFonts w:ascii="Times New Roman" w:eastAsia="Tahoma" w:hAnsi="Times New Roman"/>
          <w:bCs/>
          <w:color w:val="000000"/>
          <w:sz w:val="22"/>
          <w:szCs w:val="22"/>
          <w:lang w:val="pl-PL" w:eastAsia="pl-PL" w:bidi="pl-PL"/>
        </w:rPr>
        <w:t xml:space="preserve">To powiązanie oznacza, że pewne procedury biegły rewident będzie wykonywać zarówno podczas pierwszej jak i drugiej usługi, w tym odnośnie zrozumienia kontroli wewnętrznej dotyczącej procesu sporządzania Sprawozdania Beneficjenta/składania wniosku, aktualizacji w trakcie drugiej usługi informacji i wiedzy uzyskanej odpowiednio podczas pierwszej usługi. Należy też zwrócić uwagę, że usługa pierwsza i druga dla pomocy podstawowej dotyczą tego samego przedmiotu usługi, więc jeśli Wnioskodawca zamierza składać wnioski za obydwa wnioskowane okresy wówczas wskazane będzie zatrudnienie tego samego biegłego rewidenta do wykonania obydwu usług (jedna umowa o wykonanie usług atestacyjnych za dwa okresy wnioskowane). Podobne wnioski nasuwają się w stosunku do usługi pierwszej i drugiej przy pomocy zwiększonej, lecz tu przedmiot i zakres tych usług jest inny. Niemniej jednak ich powiązanie jest na tyle silne, aby wskazane było także w tym przypadku zatrudnienie do wykonania obydwu usług tego samego biegłego rewidenta (jedna umowa o wykonanie usług atestacyjnych – etap I oraz etap II). </w:t>
      </w:r>
    </w:p>
    <w:p w14:paraId="1C19D6E7" w14:textId="3BDED9A1"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Z uwagi jednak na fakt, iż usługi są odrębne i każda z nich kończy się wydaniem raportu (odpowiednio Raport 1 za pierwsze półrocze 2023 i Raport 1 za drugie półrocze lub Raport 2 i 3), biegły rewident powinien sporządzić dokumentację, która dostarczy podstaw do sporządzenia każdego raportu atestacyjnego, która jest wystarczająca i odpowiednia, aby umożliwić innemu doświadczonemu biegłemu rewidentowi, niemającemu wcześniejszego związku ze zleceniem, zrozumienie i</w:t>
      </w:r>
      <w:r w:rsidR="002847DD">
        <w:rPr>
          <w:rFonts w:ascii="Times New Roman" w:eastAsia="Tahoma" w:hAnsi="Times New Roman"/>
          <w:bCs/>
          <w:color w:val="000000"/>
          <w:sz w:val="22"/>
          <w:szCs w:val="22"/>
          <w:lang w:val="pl-PL" w:eastAsia="pl-PL" w:bidi="pl-PL"/>
        </w:rPr>
        <w:t> </w:t>
      </w:r>
      <w:r>
        <w:rPr>
          <w:rFonts w:ascii="Times New Roman" w:eastAsia="Tahoma" w:hAnsi="Times New Roman"/>
          <w:bCs/>
          <w:color w:val="000000"/>
          <w:sz w:val="22"/>
          <w:szCs w:val="22"/>
          <w:lang w:val="pl-PL" w:eastAsia="pl-PL" w:bidi="pl-PL"/>
        </w:rPr>
        <w:t xml:space="preserve">prześledzenie poszczególnych kroków zlecenia. </w:t>
      </w:r>
      <w:r>
        <w:rPr>
          <w:rFonts w:ascii="Times New Roman" w:eastAsia="Tahoma" w:hAnsi="Times New Roman"/>
          <w:bCs/>
          <w:color w:val="000000"/>
          <w:sz w:val="22"/>
          <w:szCs w:val="22"/>
          <w:u w:val="single"/>
          <w:lang w:val="pl-PL" w:eastAsia="pl-PL" w:bidi="pl-PL"/>
        </w:rPr>
        <w:t xml:space="preserve">Należy w tym miejscu także podkreślić, że może </w:t>
      </w:r>
      <w:r>
        <w:rPr>
          <w:rFonts w:ascii="Times New Roman" w:eastAsia="Tahoma" w:hAnsi="Times New Roman"/>
          <w:bCs/>
          <w:color w:val="000000"/>
          <w:sz w:val="22"/>
          <w:szCs w:val="22"/>
          <w:u w:val="single"/>
          <w:lang w:val="pl-PL" w:eastAsia="pl-PL" w:bidi="pl-PL"/>
        </w:rPr>
        <w:lastRenderedPageBreak/>
        <w:t>występować powiązanie wszystkich wymienionych powyżej usług, gdyż wśród przedsiębiorstw powiązanych</w:t>
      </w:r>
      <w:r>
        <w:rPr>
          <w:rStyle w:val="Odwoanieprzypisudolnego"/>
          <w:rFonts w:ascii="Times New Roman" w:eastAsia="Tahoma" w:hAnsi="Times New Roman"/>
          <w:bCs/>
          <w:color w:val="000000"/>
          <w:sz w:val="22"/>
          <w:szCs w:val="22"/>
          <w:u w:val="single"/>
          <w:lang w:val="pl-PL" w:eastAsia="pl-PL" w:bidi="pl-PL"/>
        </w:rPr>
        <w:footnoteReference w:id="9"/>
      </w:r>
      <w:r>
        <w:rPr>
          <w:rFonts w:ascii="Times New Roman" w:eastAsia="Tahoma" w:hAnsi="Times New Roman"/>
          <w:bCs/>
          <w:color w:val="000000"/>
          <w:sz w:val="22"/>
          <w:szCs w:val="22"/>
          <w:u w:val="single"/>
          <w:lang w:val="pl-PL" w:eastAsia="pl-PL" w:bidi="pl-PL"/>
        </w:rPr>
        <w:t xml:space="preserve"> mogą znajdować się zarówno Wnioskodawcy uprawnieni do pomocy podstawowej, jak i</w:t>
      </w:r>
      <w:r w:rsidR="002847DD">
        <w:rPr>
          <w:rFonts w:ascii="Times New Roman" w:eastAsia="Tahoma" w:hAnsi="Times New Roman"/>
          <w:bCs/>
          <w:color w:val="000000"/>
          <w:sz w:val="22"/>
          <w:szCs w:val="22"/>
          <w:u w:val="single"/>
          <w:lang w:val="pl-PL" w:eastAsia="pl-PL" w:bidi="pl-PL"/>
        </w:rPr>
        <w:t> </w:t>
      </w:r>
      <w:r>
        <w:rPr>
          <w:rFonts w:ascii="Times New Roman" w:eastAsia="Tahoma" w:hAnsi="Times New Roman"/>
          <w:bCs/>
          <w:color w:val="000000"/>
          <w:sz w:val="22"/>
          <w:szCs w:val="22"/>
          <w:u w:val="single"/>
          <w:lang w:val="pl-PL" w:eastAsia="pl-PL" w:bidi="pl-PL"/>
        </w:rPr>
        <w:t>ci uprawnieni do pomocy zwiększonej. Dlatego wydaje się wskazane zatrudnienie również w takim przypadku jednego biegłego rewidenta do przeprowadzenia usługi dla wielu podmiotów powiązanych.</w:t>
      </w:r>
    </w:p>
    <w:p w14:paraId="26560B20" w14:textId="77777777"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Przed wydaniem Raportu 1/2/3 biegły rewident powinien uzyskać wystarczające i odpowiednie dowody poprzez:</w:t>
      </w:r>
    </w:p>
    <w:p w14:paraId="4DF58EBC" w14:textId="40C8CC3E" w:rsidR="0099206D" w:rsidRDefault="00C501BE">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z</w:t>
      </w:r>
      <w:r w:rsidR="00FD00E8">
        <w:rPr>
          <w:rFonts w:ascii="Times New Roman" w:eastAsia="Tahoma" w:hAnsi="Times New Roman"/>
          <w:bCs/>
          <w:color w:val="000000"/>
          <w:sz w:val="22"/>
          <w:szCs w:val="22"/>
          <w:lang w:val="pl-PL" w:eastAsia="pl-PL" w:bidi="pl-PL"/>
        </w:rPr>
        <w:t>apoznanie się z zagadnieniem będącym przedmiotem usługi oraz innymi okolicznościami usługi, co obejmuje zapoznanie się z kontrolą wewnętrzną Wnioskodawcy odnoszącą się do sporządzenia Informacji Beneficjenta i/lub Sprawozdania Beneficjenta,</w:t>
      </w:r>
    </w:p>
    <w:p w14:paraId="6071A068" w14:textId="77777777" w:rsidR="0099206D" w:rsidRDefault="00FD00E8">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oszacowanie – w oparciu o zdobytą wiedzę – ryzyka, że Informacja Beneficjenta i/lub Sprawozdanie Beneficjenta zawiera istotne zniekształcenia,</w:t>
      </w:r>
    </w:p>
    <w:p w14:paraId="02239505" w14:textId="77777777" w:rsidR="0099206D" w:rsidRDefault="00FD00E8">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reakcję na oszacowane ryzyko, w tym opracowanie ogólnych reakcji oraz określenie rodzaju, czasu przeprowadzenia i zakresu dalszych procedur,</w:t>
      </w:r>
    </w:p>
    <w:p w14:paraId="2A188F20" w14:textId="77777777" w:rsidR="0099206D" w:rsidRDefault="00FD00E8">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przeprowadzenie dalszych procedur odnoszących się do rozpoznanych rodzajów ryzyka oraz obejmujących procedury wiarygodności i/lub testy kontroli w zależności od celu procedur; przy wykorzystaniu połączenia różnych technik badania m.in. inspekcji, obserwacji, uzyskiwania potwierdzeń, ponownego przeliczenia, ponownego wykonania określonych czynności, procedur analitycznych lub zapytań do kierownictwa Wnioskodawcy, oraz</w:t>
      </w:r>
    </w:p>
    <w:p w14:paraId="0B377BD9" w14:textId="77777777" w:rsidR="0099206D" w:rsidRDefault="00FD00E8">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ocenę wystarczalności i odpowiedniości uzyskanych w trakcie atestacji dowodów.</w:t>
      </w:r>
    </w:p>
    <w:p w14:paraId="6A96E74E" w14:textId="77777777" w:rsidR="0099206D" w:rsidRDefault="00FD00E8" w:rsidP="00594F70">
      <w:pPr>
        <w:pStyle w:val="IFACListStyle1"/>
        <w:spacing w:after="120"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Biegły rewident powinien zwrócić szczególną uwagę na te kryteria pomiaru i oceny jakimi są potrzeby informacyjne zamierzonych użytkowników na temat zagadnienia będącego przedmiotem przeprowadzanych zleceń. W przypadku Sprawozdania Beneficjenta (oraz innych dokumentów załączanych do niego) należy w szczególności rozważyć, czy:</w:t>
      </w:r>
    </w:p>
    <w:p w14:paraId="3A34935F" w14:textId="77777777" w:rsidR="0099206D" w:rsidRDefault="00FD00E8" w:rsidP="00C501BE">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zakres danych ilościowych przygotowanych przez Beneficjenta odpowiada wymogom według wzoru udostępnionego na BIP</w:t>
      </w:r>
      <w:r>
        <w:rPr>
          <w:rStyle w:val="Odwoanieprzypisudolnego"/>
          <w:rFonts w:ascii="Times New Roman" w:eastAsia="Tahoma" w:hAnsi="Times New Roman"/>
          <w:bCs/>
          <w:color w:val="000000"/>
          <w:sz w:val="22"/>
          <w:szCs w:val="22"/>
          <w:lang w:val="pl-PL" w:eastAsia="pl-PL" w:bidi="pl-PL"/>
        </w:rPr>
        <w:footnoteReference w:id="10"/>
      </w:r>
      <w:r>
        <w:rPr>
          <w:rFonts w:ascii="Times New Roman" w:eastAsia="Tahoma" w:hAnsi="Times New Roman"/>
          <w:bCs/>
          <w:color w:val="000000"/>
          <w:sz w:val="22"/>
          <w:szCs w:val="22"/>
          <w:lang w:val="pl-PL" w:eastAsia="pl-PL" w:bidi="pl-PL"/>
        </w:rPr>
        <w:t>,</w:t>
      </w:r>
    </w:p>
    <w:p w14:paraId="0E067CE8" w14:textId="77777777" w:rsidR="0099206D" w:rsidRDefault="00FD00E8" w:rsidP="00C501BE">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 xml:space="preserve">biegły rewident zidentyfikował w trakcie wykonywania procedur różnice </w:t>
      </w:r>
      <w:r>
        <w:rPr>
          <w:rFonts w:ascii="Times New Roman" w:eastAsia="Tahoma" w:hAnsi="Times New Roman"/>
          <w:bCs/>
          <w:i/>
          <w:iCs/>
          <w:color w:val="000000"/>
          <w:sz w:val="22"/>
          <w:szCs w:val="22"/>
          <w:lang w:val="pl-PL" w:eastAsia="pl-PL" w:bidi="pl-PL"/>
        </w:rPr>
        <w:t xml:space="preserve">in minus </w:t>
      </w:r>
      <w:r>
        <w:rPr>
          <w:rFonts w:ascii="Times New Roman" w:eastAsia="Tahoma" w:hAnsi="Times New Roman"/>
          <w:bCs/>
          <w:color w:val="000000"/>
          <w:sz w:val="22"/>
          <w:szCs w:val="22"/>
          <w:lang w:val="pl-PL" w:eastAsia="pl-PL" w:bidi="pl-PL"/>
        </w:rPr>
        <w:t>w stosunku do wysokości wyliczonej pomocy publicznej,</w:t>
      </w:r>
    </w:p>
    <w:p w14:paraId="29F27825" w14:textId="77777777" w:rsidR="0099206D" w:rsidRDefault="00FD00E8" w:rsidP="00C501BE">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 xml:space="preserve">zawarta w Sprawozdaniu Beneficjenta Podstawa Sporządzenia jest przejrzysta i zrozumiała, </w:t>
      </w:r>
    </w:p>
    <w:p w14:paraId="55F7EF31" w14:textId="77777777" w:rsidR="0099206D" w:rsidRDefault="00FD00E8" w:rsidP="00C501BE">
      <w:pPr>
        <w:pStyle w:val="IFACListStyle1"/>
        <w:numPr>
          <w:ilvl w:val="0"/>
          <w:numId w:val="2"/>
        </w:numPr>
        <w:tabs>
          <w:tab w:val="clear" w:pos="547"/>
        </w:tabs>
        <w:spacing w:after="120"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opisy (informacje jakościowe) zawarte przez Beneficjenta są wystarczające z punktu widzenia zamierzonych użytkowników lub przeciwnie, czy nie są zbyt szczegółowe, itp.</w:t>
      </w:r>
    </w:p>
    <w:p w14:paraId="23A01D25" w14:textId="77777777" w:rsidR="0099206D" w:rsidRDefault="00FD00E8" w:rsidP="00D514E0">
      <w:pPr>
        <w:pStyle w:val="IFACListStyle1"/>
        <w:spacing w:after="120" w:line="240" w:lineRule="auto"/>
        <w:rPr>
          <w:rFonts w:ascii="Times New Roman" w:hAnsi="Times New Roman"/>
          <w:sz w:val="22"/>
          <w:szCs w:val="28"/>
          <w:lang w:val="pl-PL"/>
        </w:rPr>
      </w:pPr>
      <w:r>
        <w:rPr>
          <w:rFonts w:ascii="Times New Roman" w:hAnsi="Times New Roman"/>
          <w:sz w:val="22"/>
          <w:szCs w:val="28"/>
          <w:lang w:val="pl-PL"/>
        </w:rPr>
        <w:t xml:space="preserve">Jeżeli biegły rewident uważa za konieczne, aby: </w:t>
      </w:r>
    </w:p>
    <w:p w14:paraId="508ACEF6" w14:textId="62506C84" w:rsidR="0099206D" w:rsidRDefault="00FD00E8" w:rsidP="00594F70">
      <w:pPr>
        <w:pStyle w:val="IFACListStyle1"/>
        <w:numPr>
          <w:ilvl w:val="0"/>
          <w:numId w:val="31"/>
        </w:numPr>
        <w:tabs>
          <w:tab w:val="clear" w:pos="547"/>
          <w:tab w:val="left" w:pos="426"/>
        </w:tabs>
        <w:spacing w:after="120" w:line="240" w:lineRule="auto"/>
        <w:ind w:left="284" w:hanging="284"/>
        <w:rPr>
          <w:rFonts w:ascii="Times New Roman" w:hAnsi="Times New Roman"/>
          <w:sz w:val="22"/>
          <w:szCs w:val="28"/>
          <w:lang w:val="pl-PL"/>
        </w:rPr>
      </w:pPr>
      <w:r>
        <w:rPr>
          <w:rFonts w:ascii="Times New Roman" w:hAnsi="Times New Roman"/>
          <w:sz w:val="22"/>
          <w:szCs w:val="28"/>
          <w:lang w:val="pl-PL"/>
        </w:rPr>
        <w:t>zwrócić uwagę zamierzonych użytkowników na sprawę zaprezentowaną lub ujawnioną w Informacji Beneficjenta i/lub Sprawozdaniu Beneficjenta, która według osądu biegłego rewidenta jest tak ważna, że jest ona fundamentalna dla zrozumienia przez zamierzonych użytkowników informacji o</w:t>
      </w:r>
      <w:r w:rsidR="002847DD">
        <w:rPr>
          <w:rFonts w:ascii="Times New Roman" w:hAnsi="Times New Roman"/>
          <w:sz w:val="22"/>
          <w:szCs w:val="28"/>
          <w:lang w:val="pl-PL"/>
        </w:rPr>
        <w:t> </w:t>
      </w:r>
      <w:r>
        <w:rPr>
          <w:rFonts w:ascii="Times New Roman" w:hAnsi="Times New Roman"/>
          <w:sz w:val="22"/>
          <w:szCs w:val="28"/>
          <w:lang w:val="pl-PL"/>
        </w:rPr>
        <w:t>zagadnieniu będącym przedmiotem zlecenia (</w:t>
      </w:r>
      <w:r>
        <w:rPr>
          <w:rFonts w:ascii="Times New Roman" w:hAnsi="Times New Roman"/>
          <w:sz w:val="22"/>
          <w:szCs w:val="28"/>
          <w:u w:val="single"/>
          <w:lang w:val="pl-PL"/>
        </w:rPr>
        <w:t>akapit objaśniający ze zwróceniem uwagi</w:t>
      </w:r>
      <w:r>
        <w:rPr>
          <w:rFonts w:ascii="Times New Roman" w:hAnsi="Times New Roman"/>
          <w:sz w:val="22"/>
          <w:szCs w:val="28"/>
          <w:lang w:val="pl-PL"/>
        </w:rPr>
        <w:t xml:space="preserve">) lub </w:t>
      </w:r>
    </w:p>
    <w:p w14:paraId="783287E2" w14:textId="77777777" w:rsidR="0099206D" w:rsidRDefault="00FD00E8" w:rsidP="00C501BE">
      <w:pPr>
        <w:pStyle w:val="IFACListStyle1"/>
        <w:numPr>
          <w:ilvl w:val="0"/>
          <w:numId w:val="31"/>
        </w:numPr>
        <w:tabs>
          <w:tab w:val="clear" w:pos="547"/>
          <w:tab w:val="left" w:pos="426"/>
        </w:tabs>
        <w:spacing w:after="240" w:line="240" w:lineRule="auto"/>
        <w:ind w:left="284" w:hanging="284"/>
        <w:rPr>
          <w:rFonts w:ascii="Times New Roman" w:hAnsi="Times New Roman"/>
          <w:sz w:val="22"/>
          <w:szCs w:val="28"/>
          <w:lang w:val="pl-PL"/>
        </w:rPr>
      </w:pPr>
      <w:r>
        <w:rPr>
          <w:rFonts w:ascii="Times New Roman" w:hAnsi="Times New Roman"/>
          <w:sz w:val="22"/>
          <w:szCs w:val="28"/>
          <w:lang w:val="pl-PL"/>
        </w:rPr>
        <w:t>zakomunikować sprawę inną niż te, które zostały zaprezentowane lub ujawnione w Informacji Beneficjenta i/lub Sprawozdaniu Beneficjenta, która według osądu biegłego rewidenta jest ważna dla zrozumienia przez zamierzonych użytkowników zlecenia, odpowiedzialności biegłego rewidenta lub raportu atestacyjnego (</w:t>
      </w:r>
      <w:r>
        <w:rPr>
          <w:rFonts w:ascii="Times New Roman" w:hAnsi="Times New Roman"/>
          <w:sz w:val="22"/>
          <w:szCs w:val="28"/>
          <w:u w:val="single"/>
          <w:lang w:val="pl-PL"/>
        </w:rPr>
        <w:t>akapit zawierający inne kwestie</w:t>
      </w:r>
      <w:r>
        <w:rPr>
          <w:rFonts w:ascii="Times New Roman" w:hAnsi="Times New Roman"/>
          <w:sz w:val="22"/>
          <w:szCs w:val="28"/>
          <w:lang w:val="pl-PL"/>
        </w:rPr>
        <w:t xml:space="preserve">), </w:t>
      </w:r>
    </w:p>
    <w:p w14:paraId="4593E51C" w14:textId="77777777" w:rsidR="0099206D" w:rsidRDefault="00FD00E8">
      <w:pPr>
        <w:pStyle w:val="IFACListStyle1"/>
        <w:spacing w:after="240" w:line="240" w:lineRule="auto"/>
        <w:rPr>
          <w:rFonts w:ascii="Times New Roman" w:eastAsia="Tahoma" w:hAnsi="Times New Roman"/>
          <w:bCs/>
          <w:color w:val="000000"/>
          <w:sz w:val="24"/>
          <w:lang w:val="pl-PL" w:eastAsia="pl-PL" w:bidi="pl-PL"/>
        </w:rPr>
      </w:pPr>
      <w:r>
        <w:rPr>
          <w:rFonts w:ascii="Times New Roman" w:hAnsi="Times New Roman"/>
          <w:sz w:val="22"/>
          <w:szCs w:val="28"/>
          <w:lang w:val="pl-PL"/>
        </w:rPr>
        <w:t>dokonuje tego w osobnym akapicie raportu atestacyjnego, z odpowiednim nagłówkiem, który wyraźnie wskazuje, że opinia biegłego rewidenta nie jest zmodyfikowana na skutek tej sprawy. W przypadku akapitu objaśniającego ze zwróceniem uwagi, taki akapit odwołuje się tylko do informacji zaprezentowanych lub ujawnionych w Informacji Beneficjenta i/lub Sprawozdaniu Beneficjenta.</w:t>
      </w:r>
    </w:p>
    <w:p w14:paraId="55C92E53" w14:textId="77777777" w:rsidR="0099206D" w:rsidRDefault="00FD00E8">
      <w:pPr>
        <w:pStyle w:val="IFACListStyle1"/>
        <w:spacing w:after="240"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lastRenderedPageBreak/>
        <w:t>Biegłego rewidenta obowiązują także wymogi niezależności i etyki, w tym wynikające z Międzynarodowego kodeksu etyki zawodowych księgowych (w tym Międzynarodowych standardów niezależności) Rady Międzynarodowych Standardów Etyki dla Księgowych (IESBA), przyjętego uchwałą Krajowej Rady Biegłych Rewidentów.</w:t>
      </w:r>
    </w:p>
    <w:p w14:paraId="2203071D" w14:textId="77777777" w:rsidR="0099206D" w:rsidRDefault="00FD00E8">
      <w:pPr>
        <w:pStyle w:val="IFACListStyle1"/>
        <w:numPr>
          <w:ilvl w:val="0"/>
          <w:numId w:val="18"/>
        </w:numPr>
        <w:tabs>
          <w:tab w:val="clear" w:pos="547"/>
        </w:tabs>
        <w:spacing w:line="240" w:lineRule="auto"/>
        <w:ind w:left="426" w:hanging="426"/>
        <w:rPr>
          <w:rStyle w:val="Teksttreci2"/>
          <w:rFonts w:eastAsia="Tahoma"/>
          <w:b/>
          <w:bCs/>
          <w:kern w:val="0"/>
          <w:sz w:val="22"/>
          <w:szCs w:val="22"/>
        </w:rPr>
      </w:pPr>
      <w:r>
        <w:rPr>
          <w:rFonts w:ascii="Times New Roman" w:eastAsia="Tahoma" w:hAnsi="Times New Roman"/>
          <w:b/>
          <w:bCs/>
          <w:iCs/>
          <w:color w:val="000000"/>
          <w:sz w:val="22"/>
          <w:szCs w:val="22"/>
          <w:lang w:val="pl-PL" w:eastAsia="pl-PL" w:bidi="pl-PL"/>
        </w:rPr>
        <w:t>Przykładowe procedury w ramach usług atestacyjnych biegłego rewidenta</w:t>
      </w:r>
    </w:p>
    <w:p w14:paraId="693498A8" w14:textId="582F0DD9" w:rsidR="0099206D" w:rsidRDefault="00FD00E8">
      <w:pPr>
        <w:pStyle w:val="IFACListStyle1"/>
        <w:spacing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Poniżej zaprezentowano przykładowe procedury związane z wykonaniem usług atestacyjnych, o</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których mowa powyżej. </w:t>
      </w:r>
    </w:p>
    <w:p w14:paraId="21D15CEB" w14:textId="77777777" w:rsidR="0099206D" w:rsidRDefault="00FD00E8">
      <w:pPr>
        <w:pStyle w:val="IFACListStyle1"/>
        <w:spacing w:after="120"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Na zakres i rodzaj procedur wykonywanych przez biegłego rewidenta mogą mieć wpływ wiedza, doświadczenie oraz procedury przeprowadzane przez biegłego rewidenta w związku z badaniem rocznego sprawozdania finansowego Beneficjenta.</w:t>
      </w:r>
    </w:p>
    <w:p w14:paraId="77E66ED2" w14:textId="77777777" w:rsidR="0099206D" w:rsidRDefault="00FD00E8" w:rsidP="00594F70">
      <w:pPr>
        <w:spacing w:after="120" w:line="240" w:lineRule="auto"/>
        <w:jc w:val="both"/>
        <w:rPr>
          <w:rFonts w:ascii="Times New Roman" w:eastAsia="Tahoma" w:hAnsi="Times New Roman"/>
          <w:b/>
          <w:bCs/>
          <w:color w:val="000000"/>
          <w:lang w:val="pl-PL" w:eastAsia="pl-PL" w:bidi="pl-PL"/>
        </w:rPr>
      </w:pPr>
      <w:bookmarkStart w:id="2" w:name="_Hlk130397966"/>
      <w:r>
        <w:rPr>
          <w:rFonts w:ascii="Times New Roman" w:eastAsia="Tahoma" w:hAnsi="Times New Roman"/>
          <w:b/>
          <w:bCs/>
          <w:color w:val="000000"/>
          <w:lang w:val="pl-PL" w:eastAsia="pl-PL" w:bidi="pl-PL"/>
        </w:rPr>
        <w:t>Poniższe procedury nie stanowią zamkniętego katalogu procedur, które rozważa i wykonuje biegły rewident w związku z wykonywaną usługą. W zależności od okoliczności zlecenia, znajomości Beneficjenta i jego otoczenia, przyjętych poziomów istotności oraz oceny ryzyka, procedury powinny być odpowiednio dostosowane.</w:t>
      </w:r>
      <w:bookmarkEnd w:id="2"/>
    </w:p>
    <w:p w14:paraId="5E366B1E" w14:textId="77777777" w:rsidR="0099206D" w:rsidRDefault="00FD00E8">
      <w:pPr>
        <w:spacing w:after="240" w:line="240" w:lineRule="auto"/>
        <w:jc w:val="both"/>
        <w:rPr>
          <w:rFonts w:ascii="Times New Roman" w:eastAsia="Tahoma" w:hAnsi="Times New Roman" w:cs="Times New Roman"/>
          <w:color w:val="000000"/>
          <w:kern w:val="8"/>
          <w:lang w:val="pl-PL" w:eastAsia="pl-PL" w:bidi="pl-PL"/>
        </w:rPr>
      </w:pPr>
      <w:r>
        <w:rPr>
          <w:rFonts w:ascii="Times New Roman" w:eastAsia="Tahoma" w:hAnsi="Times New Roman" w:cs="Times New Roman"/>
          <w:color w:val="000000"/>
          <w:kern w:val="8"/>
          <w:lang w:val="pl-PL" w:eastAsia="pl-PL" w:bidi="pl-PL"/>
        </w:rPr>
        <w:t>Następujące skróty i symbole użyte w tabelach z przykładowymi procedurami poniżej oznaczają:</w:t>
      </w:r>
    </w:p>
    <w:p w14:paraId="68B84F6A" w14:textId="77777777" w:rsidR="0099206D" w:rsidRDefault="00FD00E8" w:rsidP="00C501BE">
      <w:pPr>
        <w:spacing w:after="120" w:line="240" w:lineRule="auto"/>
        <w:jc w:val="both"/>
        <w:rPr>
          <w:rFonts w:ascii="Times New Roman" w:eastAsia="Tahoma" w:hAnsi="Times New Roman" w:cs="Times New Roman"/>
          <w:i/>
          <w:color w:val="000000"/>
          <w:kern w:val="8"/>
          <w:lang w:val="pl-PL" w:eastAsia="pl-PL" w:bidi="pl-PL"/>
        </w:rPr>
      </w:pPr>
      <w:r>
        <w:rPr>
          <w:rFonts w:ascii="Times New Roman" w:eastAsia="Tahoma" w:hAnsi="Times New Roman" w:cs="Times New Roman"/>
          <w:b/>
          <w:bCs/>
          <w:i/>
          <w:color w:val="000000"/>
          <w:kern w:val="8"/>
          <w:lang w:val="pl-PL" w:eastAsia="pl-PL" w:bidi="pl-PL"/>
        </w:rPr>
        <w:t>PP</w:t>
      </w:r>
      <w:r>
        <w:rPr>
          <w:rFonts w:ascii="Times New Roman" w:eastAsia="Tahoma" w:hAnsi="Times New Roman" w:cs="Times New Roman"/>
          <w:i/>
          <w:color w:val="000000"/>
          <w:kern w:val="8"/>
          <w:lang w:val="pl-PL" w:eastAsia="pl-PL" w:bidi="pl-PL"/>
        </w:rPr>
        <w:t xml:space="preserve"> - Pomoc podstawowa (</w:t>
      </w:r>
      <w:r>
        <w:rPr>
          <w:rFonts w:ascii="Times New Roman" w:eastAsia="Tahoma" w:hAnsi="Times New Roman" w:cs="Times New Roman"/>
          <w:b/>
          <w:bCs/>
          <w:i/>
          <w:color w:val="000000"/>
          <w:kern w:val="8"/>
          <w:lang w:val="pl-PL" w:eastAsia="pl-PL" w:bidi="pl-PL"/>
        </w:rPr>
        <w:t>Raport 1</w:t>
      </w:r>
      <w:r>
        <w:rPr>
          <w:rFonts w:ascii="Times New Roman" w:eastAsia="Tahoma" w:hAnsi="Times New Roman" w:cs="Times New Roman"/>
          <w:i/>
          <w:color w:val="000000"/>
          <w:kern w:val="8"/>
          <w:lang w:val="pl-PL" w:eastAsia="pl-PL" w:bidi="pl-PL"/>
        </w:rPr>
        <w:t>) – (dotyczy pierwszego okresu wnioskowanego oraz drugiego okresu wnioskowanego);</w:t>
      </w:r>
    </w:p>
    <w:p w14:paraId="01CB7678" w14:textId="77777777" w:rsidR="0099206D" w:rsidRDefault="00FD00E8" w:rsidP="00C501BE">
      <w:pPr>
        <w:spacing w:after="120" w:line="240" w:lineRule="auto"/>
        <w:jc w:val="both"/>
        <w:rPr>
          <w:rFonts w:ascii="Times New Roman" w:eastAsia="Tahoma" w:hAnsi="Times New Roman" w:cs="Times New Roman"/>
          <w:i/>
          <w:color w:val="000000"/>
          <w:kern w:val="8"/>
          <w:lang w:val="pl-PL" w:eastAsia="pl-PL" w:bidi="pl-PL"/>
        </w:rPr>
      </w:pPr>
      <w:r>
        <w:rPr>
          <w:rFonts w:ascii="Times New Roman" w:eastAsia="Tahoma" w:hAnsi="Times New Roman" w:cs="Times New Roman"/>
          <w:b/>
          <w:bCs/>
          <w:i/>
          <w:color w:val="000000"/>
          <w:kern w:val="8"/>
          <w:lang w:val="pl-PL" w:eastAsia="pl-PL" w:bidi="pl-PL"/>
        </w:rPr>
        <w:t>PZ I</w:t>
      </w:r>
      <w:r>
        <w:rPr>
          <w:rFonts w:ascii="Times New Roman" w:eastAsia="Tahoma" w:hAnsi="Times New Roman" w:cs="Times New Roman"/>
          <w:i/>
          <w:color w:val="000000"/>
          <w:kern w:val="8"/>
          <w:lang w:val="pl-PL" w:eastAsia="pl-PL" w:bidi="pl-PL"/>
        </w:rPr>
        <w:t xml:space="preserve"> - Pomoc zwiększona - etap I (</w:t>
      </w:r>
      <w:r>
        <w:rPr>
          <w:rFonts w:ascii="Times New Roman" w:eastAsia="Tahoma" w:hAnsi="Times New Roman" w:cs="Times New Roman"/>
          <w:b/>
          <w:bCs/>
          <w:i/>
          <w:color w:val="000000"/>
          <w:kern w:val="8"/>
          <w:lang w:val="pl-PL" w:eastAsia="pl-PL" w:bidi="pl-PL"/>
        </w:rPr>
        <w:t>Raport 2</w:t>
      </w:r>
      <w:r>
        <w:rPr>
          <w:rFonts w:ascii="Times New Roman" w:eastAsia="Tahoma" w:hAnsi="Times New Roman" w:cs="Times New Roman"/>
          <w:i/>
          <w:color w:val="000000"/>
          <w:kern w:val="8"/>
          <w:lang w:val="pl-PL" w:eastAsia="pl-PL" w:bidi="pl-PL"/>
        </w:rPr>
        <w:t>);</w:t>
      </w:r>
    </w:p>
    <w:p w14:paraId="758C8EB7" w14:textId="77777777" w:rsidR="0099206D" w:rsidRDefault="00FD00E8" w:rsidP="00C501BE">
      <w:pPr>
        <w:spacing w:after="120" w:line="240" w:lineRule="auto"/>
        <w:jc w:val="both"/>
        <w:rPr>
          <w:rFonts w:ascii="Times New Roman" w:eastAsia="Tahoma" w:hAnsi="Times New Roman" w:cs="Times New Roman"/>
          <w:i/>
          <w:color w:val="000000"/>
          <w:kern w:val="8"/>
          <w:lang w:val="pl-PL" w:eastAsia="pl-PL" w:bidi="pl-PL"/>
        </w:rPr>
      </w:pPr>
      <w:r>
        <w:rPr>
          <w:rFonts w:ascii="Times New Roman" w:eastAsia="Tahoma" w:hAnsi="Times New Roman" w:cs="Times New Roman"/>
          <w:b/>
          <w:bCs/>
          <w:i/>
          <w:color w:val="000000"/>
          <w:kern w:val="8"/>
          <w:lang w:val="pl-PL" w:eastAsia="pl-PL" w:bidi="pl-PL"/>
        </w:rPr>
        <w:t>PZ II</w:t>
      </w:r>
      <w:r>
        <w:rPr>
          <w:rFonts w:ascii="Times New Roman" w:eastAsia="Tahoma" w:hAnsi="Times New Roman" w:cs="Times New Roman"/>
          <w:i/>
          <w:color w:val="000000"/>
          <w:kern w:val="8"/>
          <w:lang w:val="pl-PL" w:eastAsia="pl-PL" w:bidi="pl-PL"/>
        </w:rPr>
        <w:t xml:space="preserve"> - Pomoc zwiększona - etap II (</w:t>
      </w:r>
      <w:r>
        <w:rPr>
          <w:rFonts w:ascii="Times New Roman" w:eastAsia="Tahoma" w:hAnsi="Times New Roman" w:cs="Times New Roman"/>
          <w:b/>
          <w:bCs/>
          <w:i/>
          <w:color w:val="000000"/>
          <w:kern w:val="8"/>
          <w:lang w:val="pl-PL" w:eastAsia="pl-PL" w:bidi="pl-PL"/>
        </w:rPr>
        <w:t>Raport 3</w:t>
      </w:r>
      <w:r>
        <w:rPr>
          <w:rFonts w:ascii="Times New Roman" w:eastAsia="Tahoma" w:hAnsi="Times New Roman" w:cs="Times New Roman"/>
          <w:i/>
          <w:color w:val="000000"/>
          <w:kern w:val="8"/>
          <w:lang w:val="pl-PL" w:eastAsia="pl-PL" w:bidi="pl-PL"/>
        </w:rPr>
        <w:t>);</w:t>
      </w:r>
    </w:p>
    <w:p w14:paraId="2C4BFA5F" w14:textId="77777777" w:rsidR="0099206D" w:rsidRDefault="00FD00E8" w:rsidP="00C501BE">
      <w:pPr>
        <w:pStyle w:val="Akapitzlist"/>
        <w:numPr>
          <w:ilvl w:val="0"/>
          <w:numId w:val="26"/>
        </w:numPr>
        <w:spacing w:after="120" w:line="240" w:lineRule="auto"/>
        <w:ind w:left="426"/>
        <w:contextualSpacing w:val="0"/>
        <w:jc w:val="both"/>
        <w:rPr>
          <w:rFonts w:ascii="Times New Roman" w:eastAsia="Tahoma" w:hAnsi="Times New Roman" w:cs="Times New Roman"/>
          <w:i/>
          <w:color w:val="000000"/>
          <w:kern w:val="8"/>
          <w:lang w:val="pl-PL" w:eastAsia="pl-PL" w:bidi="pl-PL"/>
        </w:rPr>
      </w:pPr>
      <w:r>
        <w:rPr>
          <w:rFonts w:ascii="Times New Roman" w:eastAsia="Tahoma" w:hAnsi="Times New Roman" w:cs="Times New Roman"/>
          <w:i/>
          <w:color w:val="000000"/>
          <w:kern w:val="8"/>
          <w:lang w:val="pl-PL" w:eastAsia="pl-PL" w:bidi="pl-PL"/>
        </w:rPr>
        <w:t>- procedura do przeprowadzenia;</w:t>
      </w:r>
    </w:p>
    <w:p w14:paraId="59FC4994" w14:textId="5220F049" w:rsidR="0099206D" w:rsidRDefault="00FD00E8" w:rsidP="00594F70">
      <w:pPr>
        <w:spacing w:after="240" w:line="240" w:lineRule="auto"/>
        <w:jc w:val="both"/>
        <w:rPr>
          <w:rFonts w:ascii="Times New Roman" w:eastAsia="Tahoma" w:hAnsi="Times New Roman" w:cs="Times New Roman"/>
          <w:i/>
          <w:color w:val="000000"/>
          <w:kern w:val="8"/>
          <w:lang w:val="pl-PL" w:eastAsia="pl-PL" w:bidi="pl-PL"/>
        </w:rPr>
      </w:pPr>
      <w:r>
        <w:rPr>
          <w:rFonts w:ascii="Symbol" w:eastAsia="Tahoma" w:hAnsi="Symbol" w:cs="Times New Roman"/>
          <w:i/>
          <w:color w:val="000000"/>
          <w:kern w:val="8"/>
          <w:lang w:val="pl-PL" w:eastAsia="pl-PL" w:bidi="pl-PL"/>
        </w:rPr>
        <w:t xml:space="preserve">f -  </w:t>
      </w:r>
      <w:r>
        <w:rPr>
          <w:rFonts w:ascii="Times New Roman" w:eastAsia="Tahoma" w:hAnsi="Times New Roman" w:cs="Times New Roman"/>
          <w:i/>
          <w:color w:val="000000"/>
          <w:kern w:val="8"/>
          <w:lang w:val="pl-PL" w:eastAsia="pl-PL" w:bidi="pl-PL"/>
        </w:rPr>
        <w:t>aktualizacja informacji i wiedzy zdobytej podczas wykonywania pierwszej usługi (por. pkt III.2 niniejszego opracowania).</w:t>
      </w:r>
    </w:p>
    <w:tbl>
      <w:tblPr>
        <w:tblStyle w:val="Tabela-Siatka"/>
        <w:tblW w:w="9351" w:type="dxa"/>
        <w:tblLook w:val="04A0" w:firstRow="1" w:lastRow="0" w:firstColumn="1" w:lastColumn="0" w:noHBand="0" w:noVBand="1"/>
      </w:tblPr>
      <w:tblGrid>
        <w:gridCol w:w="7182"/>
        <w:gridCol w:w="680"/>
        <w:gridCol w:w="707"/>
        <w:gridCol w:w="782"/>
      </w:tblGrid>
      <w:tr w:rsidR="0099206D" w14:paraId="65ED4A9B" w14:textId="77777777" w:rsidTr="00675B21">
        <w:trPr>
          <w:tblHeader/>
        </w:trPr>
        <w:tc>
          <w:tcPr>
            <w:tcW w:w="7182" w:type="dxa"/>
          </w:tcPr>
          <w:p w14:paraId="3E9FA0FC" w14:textId="77777777" w:rsidR="0099206D" w:rsidRDefault="00FD00E8">
            <w:pPr>
              <w:pStyle w:val="IFACListStyle1"/>
              <w:spacing w:line="240" w:lineRule="auto"/>
              <w:rPr>
                <w:rFonts w:ascii="Times New Roman" w:eastAsia="Tahoma" w:hAnsi="Times New Roman"/>
                <w:b/>
                <w:bCs/>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Wstępne procedury</w:t>
            </w:r>
          </w:p>
        </w:tc>
        <w:tc>
          <w:tcPr>
            <w:tcW w:w="680" w:type="dxa"/>
          </w:tcPr>
          <w:p w14:paraId="0CEFC4CF"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07" w:type="dxa"/>
          </w:tcPr>
          <w:p w14:paraId="655DE3D5"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82" w:type="dxa"/>
          </w:tcPr>
          <w:p w14:paraId="5DFA49C7"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14:paraId="18F445AC" w14:textId="77777777">
        <w:tc>
          <w:tcPr>
            <w:tcW w:w="7182" w:type="dxa"/>
          </w:tcPr>
          <w:p w14:paraId="5B540B0D"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Uzyskanie zrozumienia procesu związanego z przygotowaniem Sprawozdania Beneficjenta wraz z załącznikami, wraz ze zrozumieniem systemu kontroli wewnętrznej, który Beneficjent zaprojektował i wdrożył, aby Sprawozdanie Beneficjenta było wolne od istotnych zniekształceń powstałych wskutek błędów lub oszustwa;</w:t>
            </w:r>
          </w:p>
        </w:tc>
        <w:tc>
          <w:tcPr>
            <w:tcW w:w="680" w:type="dxa"/>
          </w:tcPr>
          <w:p w14:paraId="4238DD65"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1A924635"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789C22E9" w14:textId="77777777" w:rsidR="0099206D" w:rsidRDefault="0099206D">
            <w:pPr>
              <w:pStyle w:val="IFACListStyle1"/>
              <w:numPr>
                <w:ilvl w:val="0"/>
                <w:numId w:val="26"/>
              </w:numPr>
              <w:tabs>
                <w:tab w:val="clear" w:pos="547"/>
                <w:tab w:val="left" w:pos="284"/>
              </w:tabs>
              <w:spacing w:line="240" w:lineRule="auto"/>
              <w:ind w:left="341"/>
              <w:jc w:val="left"/>
              <w:rPr>
                <w:rFonts w:ascii="Times New Roman" w:eastAsia="Tahoma" w:hAnsi="Times New Roman"/>
                <w:color w:val="000000"/>
                <w:sz w:val="22"/>
                <w:szCs w:val="22"/>
                <w:lang w:val="pl-PL" w:eastAsia="pl-PL" w:bidi="pl-PL"/>
              </w:rPr>
            </w:pPr>
          </w:p>
        </w:tc>
      </w:tr>
      <w:tr w:rsidR="0099206D" w14:paraId="44C07064" w14:textId="77777777">
        <w:tc>
          <w:tcPr>
            <w:tcW w:w="7182" w:type="dxa"/>
          </w:tcPr>
          <w:p w14:paraId="6E21A93B" w14:textId="62343DC2"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Omówienie z kierownikiem Beneficjenta lub odpowiednimi pracownikami lub innymi osobami (w tym np. doradcami) treści wniosku wraz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załącznikami, w tym kwestii spełniania przez Wnioskodawcę kryteriów kwalifikujących go do otrzymania pomocy;</w:t>
            </w:r>
          </w:p>
        </w:tc>
        <w:tc>
          <w:tcPr>
            <w:tcW w:w="680" w:type="dxa"/>
          </w:tcPr>
          <w:p w14:paraId="1C661CCB"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146B6201"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769B7410" w14:textId="77777777" w:rsidR="0099206D" w:rsidRDefault="0099206D">
            <w:pPr>
              <w:pStyle w:val="IFACListStyle1"/>
              <w:numPr>
                <w:ilvl w:val="0"/>
                <w:numId w:val="26"/>
              </w:numPr>
              <w:tabs>
                <w:tab w:val="clear" w:pos="547"/>
                <w:tab w:val="left" w:pos="284"/>
              </w:tabs>
              <w:spacing w:line="240" w:lineRule="auto"/>
              <w:ind w:left="341"/>
              <w:jc w:val="left"/>
              <w:rPr>
                <w:rFonts w:ascii="Times New Roman" w:eastAsia="Tahoma" w:hAnsi="Times New Roman"/>
                <w:color w:val="000000"/>
                <w:sz w:val="22"/>
                <w:szCs w:val="22"/>
                <w:lang w:val="pl-PL" w:eastAsia="pl-PL" w:bidi="pl-PL"/>
              </w:rPr>
            </w:pPr>
          </w:p>
        </w:tc>
      </w:tr>
      <w:tr w:rsidR="0099206D" w14:paraId="09B22014" w14:textId="77777777">
        <w:tc>
          <w:tcPr>
            <w:tcW w:w="7182" w:type="dxa"/>
          </w:tcPr>
          <w:p w14:paraId="25A4796E" w14:textId="77777777" w:rsidR="0099206D" w:rsidRDefault="00FD00E8">
            <w:pPr>
              <w:pStyle w:val="IFACListStyle1"/>
              <w:numPr>
                <w:ilvl w:val="0"/>
                <w:numId w:val="4"/>
              </w:numPr>
              <w:tabs>
                <w:tab w:val="left" w:pos="284"/>
              </w:tabs>
              <w:spacing w:line="240" w:lineRule="auto"/>
              <w:rPr>
                <w:rFonts w:ascii="Times New Roman" w:eastAsia="Tahoma" w:hAnsi="Times New Roman"/>
                <w:color w:val="000000"/>
                <w:sz w:val="22"/>
                <w:szCs w:val="22"/>
                <w:lang w:val="pl-PL" w:eastAsia="pl-PL" w:bidi="pl-PL"/>
              </w:rPr>
            </w:pPr>
            <w:proofErr w:type="gramStart"/>
            <w:r>
              <w:rPr>
                <w:rFonts w:ascii="Times New Roman" w:eastAsia="Tahoma" w:hAnsi="Times New Roman"/>
                <w:color w:val="000000"/>
                <w:sz w:val="22"/>
                <w:szCs w:val="22"/>
                <w:lang w:val="pl-PL" w:eastAsia="pl-PL" w:bidi="pl-PL"/>
              </w:rPr>
              <w:t>Sprawdzenie,</w:t>
            </w:r>
            <w:proofErr w:type="gramEnd"/>
            <w:r>
              <w:rPr>
                <w:rFonts w:ascii="Times New Roman" w:eastAsia="Tahoma" w:hAnsi="Times New Roman"/>
                <w:color w:val="000000"/>
                <w:sz w:val="22"/>
                <w:szCs w:val="22"/>
                <w:lang w:val="pl-PL" w:eastAsia="pl-PL" w:bidi="pl-PL"/>
              </w:rPr>
              <w:t xml:space="preserve"> czy Beneficjent spełnia następujące kryteria kwalifikujące go do otrzymania pomocy:</w:t>
            </w:r>
          </w:p>
        </w:tc>
        <w:tc>
          <w:tcPr>
            <w:tcW w:w="680" w:type="dxa"/>
          </w:tcPr>
          <w:p w14:paraId="31D34748" w14:textId="77777777" w:rsidR="0099206D" w:rsidRDefault="0099206D">
            <w:pPr>
              <w:pStyle w:val="IFACListStyle1"/>
              <w:tabs>
                <w:tab w:val="left" w:pos="284"/>
              </w:tabs>
              <w:spacing w:line="240" w:lineRule="auto"/>
              <w:ind w:left="457"/>
              <w:rPr>
                <w:rFonts w:ascii="Times New Roman" w:eastAsia="Tahoma" w:hAnsi="Times New Roman"/>
                <w:color w:val="000000"/>
                <w:sz w:val="22"/>
                <w:szCs w:val="22"/>
                <w:highlight w:val="lightGray"/>
                <w:lang w:val="pl-PL" w:eastAsia="pl-PL" w:bidi="pl-PL"/>
              </w:rPr>
            </w:pPr>
          </w:p>
        </w:tc>
        <w:tc>
          <w:tcPr>
            <w:tcW w:w="707" w:type="dxa"/>
          </w:tcPr>
          <w:p w14:paraId="1162523A" w14:textId="77777777" w:rsidR="0099206D" w:rsidRDefault="0099206D">
            <w:pPr>
              <w:pStyle w:val="IFACListStyle1"/>
              <w:tabs>
                <w:tab w:val="left" w:pos="284"/>
              </w:tabs>
              <w:spacing w:line="240" w:lineRule="auto"/>
              <w:ind w:left="457"/>
              <w:rPr>
                <w:rFonts w:ascii="Times New Roman" w:eastAsia="Tahoma" w:hAnsi="Times New Roman"/>
                <w:color w:val="000000"/>
                <w:sz w:val="22"/>
                <w:szCs w:val="22"/>
                <w:highlight w:val="lightGray"/>
                <w:lang w:val="pl-PL" w:eastAsia="pl-PL" w:bidi="pl-PL"/>
              </w:rPr>
            </w:pPr>
          </w:p>
        </w:tc>
        <w:tc>
          <w:tcPr>
            <w:tcW w:w="782" w:type="dxa"/>
          </w:tcPr>
          <w:p w14:paraId="03F92FF9" w14:textId="77777777" w:rsidR="0099206D" w:rsidRDefault="0099206D">
            <w:pPr>
              <w:pStyle w:val="IFACListStyle1"/>
              <w:tabs>
                <w:tab w:val="left" w:pos="284"/>
              </w:tabs>
              <w:spacing w:line="240" w:lineRule="auto"/>
              <w:ind w:left="457"/>
              <w:rPr>
                <w:rFonts w:ascii="Times New Roman" w:eastAsia="Tahoma" w:hAnsi="Times New Roman"/>
                <w:color w:val="000000"/>
                <w:sz w:val="22"/>
                <w:szCs w:val="22"/>
                <w:highlight w:val="lightGray"/>
                <w:lang w:val="pl-PL" w:eastAsia="pl-PL" w:bidi="pl-PL"/>
              </w:rPr>
            </w:pPr>
          </w:p>
        </w:tc>
      </w:tr>
      <w:tr w:rsidR="0099206D" w14:paraId="664096DA" w14:textId="77777777">
        <w:tc>
          <w:tcPr>
            <w:tcW w:w="7182" w:type="dxa"/>
          </w:tcPr>
          <w:p w14:paraId="118550B9" w14:textId="65FD6155"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wykonuje działalność gospodarczą na dzień złożenia wniosku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wykonywał ją przez cały okres wnioskowany i co najmniej jeden miesiąc okresu referencyjnego, za które może przedstawić udokumentowane koszty zakupu energii elektrycznej lub gazu ziemnego na terytorium Rzeczypospolitej Polskiej; </w:t>
            </w:r>
          </w:p>
        </w:tc>
        <w:tc>
          <w:tcPr>
            <w:tcW w:w="680" w:type="dxa"/>
          </w:tcPr>
          <w:p w14:paraId="42767830"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55ED9F01"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7F9D3D7"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7D3FA9E" w14:textId="77777777">
        <w:tc>
          <w:tcPr>
            <w:tcW w:w="7182" w:type="dxa"/>
          </w:tcPr>
          <w:p w14:paraId="56E8086E" w14:textId="4431C0E9" w:rsidR="0099206D" w:rsidRDefault="00FD00E8">
            <w:pPr>
              <w:pStyle w:val="IFACListStyle1"/>
              <w:numPr>
                <w:ilvl w:val="0"/>
                <w:numId w:val="24"/>
              </w:numPr>
              <w:spacing w:line="240" w:lineRule="auto"/>
              <w:ind w:left="598"/>
              <w:rPr>
                <w:rFonts w:ascii="Times New Roman" w:eastAsia="Tahoma" w:hAnsi="Times New Roman"/>
                <w:i/>
                <w:color w:val="000000"/>
                <w:sz w:val="22"/>
                <w:szCs w:val="22"/>
                <w:u w:val="single"/>
                <w:lang w:val="pl-PL" w:eastAsia="pl-PL" w:bidi="pl-PL"/>
              </w:rPr>
            </w:pPr>
            <w:r>
              <w:rPr>
                <w:rFonts w:ascii="Times New Roman" w:eastAsia="Tahoma" w:hAnsi="Times New Roman"/>
                <w:color w:val="000000"/>
                <w:sz w:val="22"/>
                <w:szCs w:val="22"/>
                <w:lang w:val="pl-PL" w:eastAsia="pl-PL" w:bidi="pl-PL"/>
              </w:rPr>
              <w:t>poniósł łączne koszty zakupu energii elektrycznej i gazu ziemnego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2021 r. stanowiące nie mniej niż 3% jego wartości produkcji sprzedanej (należy przejść do procedury z części zatytułowanej </w:t>
            </w:r>
            <w:r>
              <w:rPr>
                <w:rFonts w:ascii="Times New Roman" w:eastAsia="Tahoma" w:hAnsi="Times New Roman"/>
                <w:i/>
                <w:color w:val="000000"/>
                <w:sz w:val="22"/>
                <w:szCs w:val="22"/>
                <w:u w:val="single"/>
                <w:lang w:val="pl-PL" w:eastAsia="pl-PL" w:bidi="pl-PL"/>
              </w:rPr>
              <w:t xml:space="preserve">Ocena sposobu kalkulacji oraz sprawdzenie wyliczeń </w:t>
            </w:r>
            <w:r>
              <w:rPr>
                <w:rFonts w:ascii="Times New Roman" w:eastAsia="Tahoma" w:hAnsi="Times New Roman"/>
                <w:color w:val="000000"/>
                <w:sz w:val="22"/>
                <w:szCs w:val="22"/>
                <w:lang w:val="pl-PL" w:eastAsia="pl-PL" w:bidi="pl-PL"/>
              </w:rPr>
              <w:t xml:space="preserve">dotyczącej </w:t>
            </w:r>
            <w:r>
              <w:rPr>
                <w:rFonts w:ascii="Times New Roman" w:eastAsia="Tahoma" w:hAnsi="Times New Roman"/>
                <w:b/>
                <w:bCs/>
                <w:color w:val="000000"/>
                <w:sz w:val="22"/>
                <w:szCs w:val="22"/>
                <w:lang w:val="pl-PL" w:eastAsia="pl-PL" w:bidi="pl-PL"/>
              </w:rPr>
              <w:t>Wyliczenia Kosztów</w:t>
            </w:r>
            <w:r>
              <w:rPr>
                <w:rFonts w:ascii="Times New Roman" w:eastAsia="Tahoma" w:hAnsi="Times New Roman"/>
                <w:color w:val="000000"/>
                <w:sz w:val="22"/>
                <w:szCs w:val="22"/>
                <w:lang w:val="pl-PL" w:eastAsia="pl-PL" w:bidi="pl-PL"/>
              </w:rPr>
              <w:t xml:space="preserve">); </w:t>
            </w:r>
          </w:p>
        </w:tc>
        <w:tc>
          <w:tcPr>
            <w:tcW w:w="680" w:type="dxa"/>
          </w:tcPr>
          <w:p w14:paraId="1E9838A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50C15C11"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24F5E161"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5306FE16" w14:textId="77777777">
        <w:tc>
          <w:tcPr>
            <w:tcW w:w="7182" w:type="dxa"/>
          </w:tcPr>
          <w:p w14:paraId="6A423199"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w ostatnim zamkniętym</w:t>
            </w:r>
            <w:r>
              <w:rPr>
                <w:rStyle w:val="Odwoanieprzypisudolnego"/>
                <w:rFonts w:ascii="Times New Roman" w:eastAsia="Tahoma" w:hAnsi="Times New Roman"/>
                <w:color w:val="000000"/>
                <w:sz w:val="22"/>
                <w:szCs w:val="22"/>
                <w:lang w:val="pl-PL" w:eastAsia="pl-PL" w:bidi="pl-PL"/>
              </w:rPr>
              <w:footnoteReference w:id="11"/>
            </w:r>
            <w:r>
              <w:rPr>
                <w:rFonts w:ascii="Times New Roman" w:eastAsia="Tahoma" w:hAnsi="Times New Roman"/>
                <w:color w:val="000000"/>
                <w:sz w:val="22"/>
                <w:szCs w:val="22"/>
                <w:lang w:val="pl-PL" w:eastAsia="pl-PL" w:bidi="pl-PL"/>
              </w:rPr>
              <w:t xml:space="preserve"> roku obrotowym prowadził przeważającą działalność, rozumianą jako osiągnięcie łącznie co najmniej 50% przychodu:</w:t>
            </w:r>
          </w:p>
          <w:p w14:paraId="0875AF40" w14:textId="77777777" w:rsidR="0099206D" w:rsidRDefault="00FD00E8">
            <w:pPr>
              <w:pStyle w:val="IFACListStyle1"/>
              <w:numPr>
                <w:ilvl w:val="2"/>
                <w:numId w:val="21"/>
              </w:numPr>
              <w:tabs>
                <w:tab w:val="left" w:pos="284"/>
              </w:tabs>
              <w:spacing w:line="240" w:lineRule="auto"/>
              <w:ind w:left="1168"/>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dla pomocy podstawowej - w jednej lub wielu podklasach PKD, zawierających się w sekcjach B lub C, </w:t>
            </w:r>
          </w:p>
          <w:p w14:paraId="25D0D69C" w14:textId="77777777" w:rsidR="0099206D" w:rsidRDefault="00FD00E8">
            <w:pPr>
              <w:pStyle w:val="IFACListStyle1"/>
              <w:numPr>
                <w:ilvl w:val="2"/>
                <w:numId w:val="21"/>
              </w:numPr>
              <w:tabs>
                <w:tab w:val="left" w:pos="284"/>
              </w:tabs>
              <w:spacing w:line="240" w:lineRule="auto"/>
              <w:ind w:left="1168"/>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dla pomocy zwiększonej - w jednej lub wielu podklasach PKD lub kodach PRODCOM znajdujących się na listach w części XVI Programu</w:t>
            </w:r>
          </w:p>
          <w:p w14:paraId="57C5E687" w14:textId="77777777" w:rsidR="0099206D" w:rsidRDefault="00FD00E8">
            <w:pPr>
              <w:pStyle w:val="IFACListStyle1"/>
              <w:tabs>
                <w:tab w:val="left" w:pos="284"/>
              </w:tabs>
              <w:spacing w:line="240" w:lineRule="auto"/>
              <w:ind w:left="601"/>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 (należy przejść do procedury z części zatytułowanej </w:t>
            </w:r>
            <w:r>
              <w:rPr>
                <w:rFonts w:ascii="Times New Roman" w:eastAsia="Tahoma" w:hAnsi="Times New Roman"/>
                <w:i/>
                <w:color w:val="000000"/>
                <w:sz w:val="22"/>
                <w:szCs w:val="22"/>
                <w:u w:val="single"/>
                <w:lang w:val="pl-PL" w:eastAsia="pl-PL" w:bidi="pl-PL"/>
              </w:rPr>
              <w:t>Ocena sposobu kalkulacji oraz sprawdzenie wyliczeń</w:t>
            </w:r>
            <w:r>
              <w:rPr>
                <w:rFonts w:ascii="Times New Roman" w:eastAsia="Tahoma" w:hAnsi="Times New Roman"/>
                <w:i/>
                <w:color w:val="000000"/>
                <w:sz w:val="22"/>
                <w:szCs w:val="22"/>
                <w:lang w:val="pl-PL" w:eastAsia="pl-PL" w:bidi="pl-PL"/>
              </w:rPr>
              <w:t xml:space="preserve"> </w:t>
            </w:r>
            <w:r>
              <w:rPr>
                <w:rFonts w:ascii="Times New Roman" w:eastAsia="Tahoma" w:hAnsi="Times New Roman"/>
                <w:color w:val="000000"/>
                <w:sz w:val="22"/>
                <w:szCs w:val="22"/>
                <w:lang w:val="pl-PL" w:eastAsia="pl-PL" w:bidi="pl-PL"/>
              </w:rPr>
              <w:t xml:space="preserve">dotyczącej </w:t>
            </w:r>
            <w:r>
              <w:rPr>
                <w:rFonts w:ascii="Times New Roman" w:eastAsia="Tahoma" w:hAnsi="Times New Roman"/>
                <w:b/>
                <w:bCs/>
                <w:color w:val="000000"/>
                <w:sz w:val="22"/>
                <w:szCs w:val="22"/>
                <w:lang w:val="pl-PL" w:eastAsia="pl-PL" w:bidi="pl-PL"/>
              </w:rPr>
              <w:t>Wyliczenia Przychodów</w:t>
            </w:r>
            <w:r>
              <w:rPr>
                <w:rFonts w:ascii="Times New Roman" w:eastAsia="Tahoma" w:hAnsi="Times New Roman"/>
                <w:color w:val="000000"/>
                <w:sz w:val="22"/>
                <w:szCs w:val="22"/>
                <w:lang w:val="pl-PL" w:eastAsia="pl-PL" w:bidi="pl-PL"/>
              </w:rPr>
              <w:t>);</w:t>
            </w:r>
          </w:p>
        </w:tc>
        <w:tc>
          <w:tcPr>
            <w:tcW w:w="680" w:type="dxa"/>
          </w:tcPr>
          <w:p w14:paraId="5E29AA4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7F771CF7"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79F3D7F"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3227C28C" w14:textId="77777777">
        <w:tc>
          <w:tcPr>
            <w:tcW w:w="7182" w:type="dxa"/>
          </w:tcPr>
          <w:p w14:paraId="4E4E80BC"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w okresie kwalifikowanym Beneficjent osiągnął wskaźnik EBITDA nie wyższy niż 60% wartości tego wskaźnika w okresie referencyjnym albo ujemny wskaźnik EBITDA (należy przejść do procedury z części zatytułowanej </w:t>
            </w:r>
            <w:r>
              <w:rPr>
                <w:rFonts w:ascii="Times New Roman" w:eastAsia="Tahoma" w:hAnsi="Times New Roman"/>
                <w:i/>
                <w:color w:val="000000"/>
                <w:sz w:val="22"/>
                <w:szCs w:val="22"/>
                <w:u w:val="single"/>
                <w:lang w:val="pl-PL" w:eastAsia="pl-PL" w:bidi="pl-PL"/>
              </w:rPr>
              <w:t>Ocena sposobu kalkulacji oraz sprawdzenie wyliczeń</w:t>
            </w:r>
            <w:r>
              <w:rPr>
                <w:rFonts w:ascii="Times New Roman" w:eastAsia="Tahoma" w:hAnsi="Times New Roman"/>
                <w:i/>
                <w:color w:val="000000"/>
                <w:sz w:val="22"/>
                <w:szCs w:val="22"/>
                <w:lang w:val="pl-PL" w:eastAsia="pl-PL" w:bidi="pl-PL"/>
              </w:rPr>
              <w:t xml:space="preserve"> </w:t>
            </w:r>
            <w:r>
              <w:rPr>
                <w:rFonts w:ascii="Times New Roman" w:eastAsia="Tahoma" w:hAnsi="Times New Roman"/>
                <w:color w:val="000000"/>
                <w:sz w:val="22"/>
                <w:szCs w:val="22"/>
                <w:lang w:val="pl-PL" w:eastAsia="pl-PL" w:bidi="pl-PL"/>
              </w:rPr>
              <w:t xml:space="preserve">dotyczącej </w:t>
            </w:r>
            <w:r>
              <w:rPr>
                <w:rFonts w:ascii="Times New Roman" w:eastAsia="Tahoma" w:hAnsi="Times New Roman"/>
                <w:b/>
                <w:bCs/>
                <w:color w:val="000000"/>
                <w:sz w:val="22"/>
                <w:szCs w:val="22"/>
                <w:lang w:val="pl-PL" w:eastAsia="pl-PL" w:bidi="pl-PL"/>
              </w:rPr>
              <w:t>Wyliczenia EBITDA);</w:t>
            </w:r>
          </w:p>
        </w:tc>
        <w:tc>
          <w:tcPr>
            <w:tcW w:w="680" w:type="dxa"/>
          </w:tcPr>
          <w:p w14:paraId="34AD97F8"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07" w:type="dxa"/>
          </w:tcPr>
          <w:p w14:paraId="02ABDF9C"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16AE2756" w14:textId="77777777" w:rsidR="0099206D" w:rsidRDefault="0099206D">
            <w:pPr>
              <w:pStyle w:val="IFACListStyle1"/>
              <w:numPr>
                <w:ilvl w:val="0"/>
                <w:numId w:val="4"/>
              </w:numPr>
              <w:tabs>
                <w:tab w:val="clear" w:pos="547"/>
                <w:tab w:val="left" w:pos="284"/>
              </w:tabs>
              <w:spacing w:line="240" w:lineRule="auto"/>
              <w:rPr>
                <w:rFonts w:ascii="Symbol" w:eastAsia="Tahoma" w:hAnsi="Symbol"/>
                <w:i/>
                <w:color w:val="000000"/>
                <w:lang w:val="pl-PL" w:eastAsia="pl-PL" w:bidi="pl-PL"/>
              </w:rPr>
            </w:pPr>
          </w:p>
        </w:tc>
      </w:tr>
      <w:tr w:rsidR="0099206D" w14:paraId="70CA5257" w14:textId="77777777">
        <w:tc>
          <w:tcPr>
            <w:tcW w:w="7182" w:type="dxa"/>
          </w:tcPr>
          <w:p w14:paraId="3A5F3719"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okresie do dnia 31 marca 2024 r. przedstawi Operatorowi Programu „Plan zmniejszenia energochłonności przedsiębiorstwa” wykonany zgodnie z częścią XVII Programu, według którego wydatki inwestycyjne muszą stanowić co najmniej 30% przyznanej pomocy;</w:t>
            </w:r>
          </w:p>
        </w:tc>
        <w:tc>
          <w:tcPr>
            <w:tcW w:w="680" w:type="dxa"/>
          </w:tcPr>
          <w:p w14:paraId="71D1836F"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07" w:type="dxa"/>
          </w:tcPr>
          <w:p w14:paraId="0DAC32DC"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2227ED60" w14:textId="77777777" w:rsidR="0099206D" w:rsidRDefault="0099206D">
            <w:pPr>
              <w:pStyle w:val="IFACListStyle1"/>
              <w:numPr>
                <w:ilvl w:val="0"/>
                <w:numId w:val="4"/>
              </w:numPr>
              <w:tabs>
                <w:tab w:val="clear" w:pos="547"/>
                <w:tab w:val="left" w:pos="284"/>
              </w:tabs>
              <w:spacing w:line="240" w:lineRule="auto"/>
              <w:rPr>
                <w:rFonts w:ascii="Symbol" w:eastAsia="Tahoma" w:hAnsi="Symbol"/>
                <w:i/>
                <w:color w:val="000000"/>
                <w:lang w:val="pl-PL" w:eastAsia="pl-PL" w:bidi="pl-PL"/>
              </w:rPr>
            </w:pPr>
          </w:p>
        </w:tc>
      </w:tr>
      <w:tr w:rsidR="0099206D" w14:paraId="625440D5" w14:textId="77777777">
        <w:tc>
          <w:tcPr>
            <w:tcW w:w="7182" w:type="dxa"/>
          </w:tcPr>
          <w:p w14:paraId="1CC5C4F9"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na dzień składania wniosku oraz na dzień zawarcia umowy nie znajduje się w likwidacji albo upadłości na podstawie prawa polskiego; </w:t>
            </w:r>
          </w:p>
        </w:tc>
        <w:tc>
          <w:tcPr>
            <w:tcW w:w="680" w:type="dxa"/>
          </w:tcPr>
          <w:p w14:paraId="6A22578D"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4285A6E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C617863"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18FB686B" w14:textId="77777777">
        <w:tc>
          <w:tcPr>
            <w:tcW w:w="7182" w:type="dxa"/>
          </w:tcPr>
          <w:p w14:paraId="55482789" w14:textId="1969CED3"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zalega z zapłatą podatków stanowiących dochód budżetu państwa,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wyjątkiem przypadków, gdy uzyskał przewidziane prawem zwolnienie, odroczenie, rozłożenie na raty zaległości podatkowych albo podatku lub wstrzymanie w całości wykonania decyzji właściwego organu podatkowego; </w:t>
            </w:r>
          </w:p>
        </w:tc>
        <w:tc>
          <w:tcPr>
            <w:tcW w:w="680" w:type="dxa"/>
          </w:tcPr>
          <w:p w14:paraId="4C218BC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3DFC6FC4"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8589290"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464C5CCC" w14:textId="77777777">
        <w:tc>
          <w:tcPr>
            <w:tcW w:w="7182" w:type="dxa"/>
          </w:tcPr>
          <w:p w14:paraId="7FE19CFF"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zalega z zapłatą należności z tytułu składek na ubezpieczenia społeczne, z wyjątkiem przypadków, gdy uzyskał przewidziane prawem zawieszenie spłaty lub zawarł umowę o odroczeniu terminu płatności albo umowę o rozłożeniu na raty należności z tytułu składek na ubezpieczenia społeczne;</w:t>
            </w:r>
          </w:p>
        </w:tc>
        <w:tc>
          <w:tcPr>
            <w:tcW w:w="680" w:type="dxa"/>
          </w:tcPr>
          <w:p w14:paraId="0D50D176"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708041D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036B4BEC"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2900312C" w14:textId="77777777">
        <w:tc>
          <w:tcPr>
            <w:tcW w:w="7182" w:type="dxa"/>
          </w:tcPr>
          <w:p w14:paraId="7A90E38F" w14:textId="7EC3B731"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jest objęty odpowiednimi sankcjami w związku z wojną ukraińsko-rosyjską przyjętymi na podstawie obowiązującego prawa, a</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szczególności nie jest: </w:t>
            </w:r>
          </w:p>
        </w:tc>
        <w:tc>
          <w:tcPr>
            <w:tcW w:w="680" w:type="dxa"/>
          </w:tcPr>
          <w:p w14:paraId="2376E2E8"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2EB9EC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4437BAA5"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60E588F0" w14:textId="77777777">
        <w:tc>
          <w:tcPr>
            <w:tcW w:w="7182" w:type="dxa"/>
          </w:tcPr>
          <w:p w14:paraId="076B27AD" w14:textId="77777777" w:rsidR="0099206D" w:rsidRDefault="00FD00E8">
            <w:pPr>
              <w:pStyle w:val="IFACListStyle1"/>
              <w:numPr>
                <w:ilvl w:val="0"/>
                <w:numId w:val="25"/>
              </w:numPr>
              <w:tabs>
                <w:tab w:val="left" w:pos="284"/>
              </w:tabs>
              <w:spacing w:line="240" w:lineRule="auto"/>
              <w:ind w:left="851"/>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podmiotem wymienionym w aktach prawnych nakładających te sankcje, </w:t>
            </w:r>
          </w:p>
        </w:tc>
        <w:tc>
          <w:tcPr>
            <w:tcW w:w="680" w:type="dxa"/>
          </w:tcPr>
          <w:p w14:paraId="34DDBE4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39D9D754"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75267F10"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C0E298B" w14:textId="77777777">
        <w:tc>
          <w:tcPr>
            <w:tcW w:w="7182" w:type="dxa"/>
          </w:tcPr>
          <w:p w14:paraId="60C35067" w14:textId="03697495" w:rsidR="0099206D" w:rsidRDefault="00FD00E8">
            <w:pPr>
              <w:pStyle w:val="IFACListStyle1"/>
              <w:numPr>
                <w:ilvl w:val="0"/>
                <w:numId w:val="25"/>
              </w:numPr>
              <w:tabs>
                <w:tab w:val="left" w:pos="284"/>
              </w:tabs>
              <w:spacing w:line="240" w:lineRule="auto"/>
              <w:ind w:left="851"/>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przedsiębiorcą będącym własnością podmiotów, w które są wymierzone te sankcje, lub powiązanym z takimi podmiotami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sposób, o którym mowa w art. 2 ust. 2 rozporządzenia Komisji (UE) nr 1407/2013 z dnia 18 grudnia 2013 r. w sprawie stosowania art. 107 i 108 Traktatu o funkcjonowaniu Unii Europejskiej do pomocy de </w:t>
            </w:r>
            <w:proofErr w:type="spellStart"/>
            <w:r>
              <w:rPr>
                <w:rFonts w:ascii="Times New Roman" w:eastAsia="Tahoma" w:hAnsi="Times New Roman"/>
                <w:color w:val="000000"/>
                <w:sz w:val="22"/>
                <w:szCs w:val="22"/>
                <w:lang w:val="pl-PL" w:eastAsia="pl-PL" w:bidi="pl-PL"/>
              </w:rPr>
              <w:t>minimis</w:t>
            </w:r>
            <w:proofErr w:type="spellEnd"/>
            <w:r>
              <w:rPr>
                <w:rFonts w:ascii="Times New Roman" w:eastAsia="Tahoma" w:hAnsi="Times New Roman"/>
                <w:color w:val="000000"/>
                <w:sz w:val="22"/>
                <w:szCs w:val="22"/>
                <w:lang w:val="pl-PL" w:eastAsia="pl-PL" w:bidi="pl-PL"/>
              </w:rPr>
              <w:t xml:space="preserve"> (Dz. Urz. UE L 352 z 24.12.2013, str. 1, z późn. zm.), </w:t>
            </w:r>
          </w:p>
        </w:tc>
        <w:tc>
          <w:tcPr>
            <w:tcW w:w="680" w:type="dxa"/>
          </w:tcPr>
          <w:p w14:paraId="3FF06ADE"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05408C4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8519001"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52BB896C" w14:textId="77777777">
        <w:tc>
          <w:tcPr>
            <w:tcW w:w="7182" w:type="dxa"/>
          </w:tcPr>
          <w:p w14:paraId="165C6F4C" w14:textId="3E5A8ADA" w:rsidR="0099206D" w:rsidRDefault="00FD00E8">
            <w:pPr>
              <w:pStyle w:val="IFACListStyle1"/>
              <w:numPr>
                <w:ilvl w:val="0"/>
                <w:numId w:val="25"/>
              </w:numPr>
              <w:tabs>
                <w:tab w:val="left" w:pos="284"/>
              </w:tabs>
              <w:spacing w:line="240" w:lineRule="auto"/>
              <w:ind w:left="851"/>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przedsiębiorcą prowadzącym działalność w sektorach przemysłu,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które wymierzone są sankcje przyjęte przez UE, o ile pomoc ta utrudniałaby osiągnięcie celów tych sankcji;</w:t>
            </w:r>
          </w:p>
        </w:tc>
        <w:tc>
          <w:tcPr>
            <w:tcW w:w="680" w:type="dxa"/>
          </w:tcPr>
          <w:p w14:paraId="73267A1E"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627C3FD"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5E969ABF"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2C0424FF" w14:textId="77777777">
        <w:tc>
          <w:tcPr>
            <w:tcW w:w="7182" w:type="dxa"/>
          </w:tcPr>
          <w:p w14:paraId="7F93CD9F"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jest wpisany na listę, o której mowa w art. 2 ust. 1 ustawy z dnia 13 kwietnia 2022 r. o szczególnych rozwiązaniach w zakresie przeciwdziałania wspieraniu agresji na Ukrainę oraz służących ochronie bezpieczeństwa narodowego (Dz. U. z 2023 r. poz. 1497), nie została na niego nałożona kara pieniężna, o której mowa w art. 6 ust. 1 lub w art. 12 ust. 1 tej ustawy, nie została względem niego orzeczona kara, o której mowa w art. 16 ust. 2 tej ustawy, ani nie została na niego nałożona kara pieniężna, o której mowa w art. 143d ustawy z dnia 16 listopada 2016 r. o Krajowej Administracji Skarbowej (Dz. U. z 2023 r. poz. 615, z późn. zm.);</w:t>
            </w:r>
          </w:p>
        </w:tc>
        <w:tc>
          <w:tcPr>
            <w:tcW w:w="680" w:type="dxa"/>
          </w:tcPr>
          <w:p w14:paraId="6444415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98BE57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76EE38C0"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F304879" w14:textId="77777777">
        <w:tc>
          <w:tcPr>
            <w:tcW w:w="7182" w:type="dxa"/>
          </w:tcPr>
          <w:p w14:paraId="360C1F3B" w14:textId="77777777" w:rsidR="0099206D" w:rsidRDefault="00FD00E8">
            <w:pPr>
              <w:pStyle w:val="IFACListStyle1"/>
              <w:numPr>
                <w:ilvl w:val="0"/>
                <w:numId w:val="24"/>
              </w:numPr>
              <w:tabs>
                <w:tab w:val="clear" w:pos="547"/>
                <w:tab w:val="left" w:pos="284"/>
              </w:tabs>
              <w:spacing w:line="240" w:lineRule="auto"/>
              <w:ind w:left="589" w:hanging="425"/>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jest przedsiębiorcą uprawnionym w okresie kwalifikowanym do zakupu energii elektrycznej po ustalonej cenie maksymalnej, na podstawie ustawy z dnia 27 października 2022 r. o środkach nadzwyczajnych mających na celu ograniczenie wysokości cen energii elektrycznej oraz wsparciu niektórych odbiorców w 2023 roku (Dz. U. poz. 2243 z późn. zm.)</w:t>
            </w:r>
            <w:r>
              <w:rPr>
                <w:rStyle w:val="Odwoanieprzypisudolnego"/>
                <w:rFonts w:ascii="Times New Roman" w:eastAsia="Tahoma" w:hAnsi="Times New Roman"/>
                <w:color w:val="000000"/>
                <w:sz w:val="22"/>
                <w:szCs w:val="22"/>
                <w:lang w:val="pl-PL" w:eastAsia="pl-PL" w:bidi="pl-PL"/>
              </w:rPr>
              <w:footnoteReference w:id="12"/>
            </w:r>
            <w:r>
              <w:rPr>
                <w:rFonts w:ascii="Times New Roman" w:eastAsia="Tahoma" w:hAnsi="Times New Roman"/>
                <w:color w:val="000000"/>
                <w:sz w:val="22"/>
                <w:szCs w:val="22"/>
                <w:lang w:val="pl-PL" w:eastAsia="pl-PL" w:bidi="pl-PL"/>
              </w:rPr>
              <w:t xml:space="preserve">. Jako uprawnionego, zgodnie z Programem, rozumie się każdy podmiot, któremu powyższa ustawa daje możliwość skorzystania z ceny maksymalnej, bez względu na to, czy z niej skorzystał. W przypadku Beneficjenta będącego przedsiębiorcą uprawnionym, </w:t>
            </w:r>
            <w:proofErr w:type="gramStart"/>
            <w:r>
              <w:rPr>
                <w:rFonts w:ascii="Times New Roman" w:eastAsia="Tahoma" w:hAnsi="Times New Roman"/>
                <w:color w:val="000000"/>
                <w:sz w:val="22"/>
                <w:szCs w:val="22"/>
                <w:lang w:val="pl-PL" w:eastAsia="pl-PL" w:bidi="pl-PL"/>
              </w:rPr>
              <w:t>sprawdzenie,</w:t>
            </w:r>
            <w:proofErr w:type="gramEnd"/>
            <w:r>
              <w:rPr>
                <w:rFonts w:ascii="Times New Roman" w:eastAsia="Tahoma" w:hAnsi="Times New Roman"/>
                <w:color w:val="000000"/>
                <w:sz w:val="22"/>
                <w:szCs w:val="22"/>
                <w:lang w:val="pl-PL" w:eastAsia="pl-PL" w:bidi="pl-PL"/>
              </w:rPr>
              <w:t xml:space="preserve"> czy Sprawozdanie Beneficjenta dotyczy wyłącznie kosztów zakupu gazu ziemnego.</w:t>
            </w:r>
          </w:p>
        </w:tc>
        <w:tc>
          <w:tcPr>
            <w:tcW w:w="680" w:type="dxa"/>
          </w:tcPr>
          <w:p w14:paraId="0A16F70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E104E51" w14:textId="77777777" w:rsidR="0099206D" w:rsidRDefault="0099206D">
            <w:pPr>
              <w:pStyle w:val="IFACListStyle1"/>
              <w:tabs>
                <w:tab w:val="clear" w:pos="547"/>
                <w:tab w:val="left" w:pos="284"/>
              </w:tabs>
              <w:spacing w:line="240" w:lineRule="auto"/>
              <w:ind w:left="457"/>
              <w:rPr>
                <w:rFonts w:ascii="Times New Roman" w:eastAsia="Tahoma" w:hAnsi="Times New Roman"/>
                <w:color w:val="000000"/>
                <w:sz w:val="22"/>
                <w:szCs w:val="22"/>
                <w:lang w:val="pl-PL" w:eastAsia="pl-PL" w:bidi="pl-PL"/>
              </w:rPr>
            </w:pPr>
          </w:p>
        </w:tc>
        <w:tc>
          <w:tcPr>
            <w:tcW w:w="782" w:type="dxa"/>
          </w:tcPr>
          <w:p w14:paraId="429953C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1058AAF8" w14:textId="77777777">
        <w:tc>
          <w:tcPr>
            <w:tcW w:w="7182" w:type="dxa"/>
          </w:tcPr>
          <w:p w14:paraId="4A590680" w14:textId="4FF8BAAF"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Zapoznanie się z dokumentacją z realizacji usługi atestacyjnej dotyczącej Sprawozdania Beneficjenta przygotowanego w ramach programu pomocy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poprzedniej edycji, jeżeli jest to możliwe w okolicznościach zlecenia, a</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także sprawozdaniem niezależnego biegłego rewidenta z wykonania tej usługi w celu zrozumienia ewentualnych zmian okoliczności zlecenia;</w:t>
            </w:r>
          </w:p>
        </w:tc>
        <w:tc>
          <w:tcPr>
            <w:tcW w:w="680" w:type="dxa"/>
          </w:tcPr>
          <w:p w14:paraId="545B2D5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48E788CC" w14:textId="77777777" w:rsidR="0099206D" w:rsidRDefault="0099206D">
            <w:pPr>
              <w:pStyle w:val="IFACListStyle1"/>
              <w:numPr>
                <w:ilvl w:val="0"/>
                <w:numId w:val="26"/>
              </w:numPr>
              <w:tabs>
                <w:tab w:val="clear" w:pos="547"/>
                <w:tab w:val="left" w:pos="284"/>
              </w:tabs>
              <w:spacing w:line="240" w:lineRule="auto"/>
              <w:rPr>
                <w:rFonts w:ascii="Times New Roman" w:eastAsia="Tahoma" w:hAnsi="Times New Roman"/>
                <w:color w:val="000000"/>
                <w:sz w:val="22"/>
                <w:szCs w:val="22"/>
                <w:lang w:val="pl-PL" w:eastAsia="pl-PL" w:bidi="pl-PL"/>
              </w:rPr>
            </w:pPr>
          </w:p>
        </w:tc>
        <w:tc>
          <w:tcPr>
            <w:tcW w:w="782" w:type="dxa"/>
          </w:tcPr>
          <w:p w14:paraId="7577CF4D" w14:textId="77777777" w:rsidR="0099206D" w:rsidRDefault="00FD00E8">
            <w:pPr>
              <w:pStyle w:val="IFACListStyle1"/>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72F4A166" w14:textId="77777777">
        <w:tc>
          <w:tcPr>
            <w:tcW w:w="7182" w:type="dxa"/>
          </w:tcPr>
          <w:p w14:paraId="34A3B872"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Ocena wiarygodności i spójności źródeł informacji wykorzystanych do wyliczeń zawartych w Sprawozdaniu Beneficjenta;</w:t>
            </w:r>
          </w:p>
        </w:tc>
        <w:tc>
          <w:tcPr>
            <w:tcW w:w="680" w:type="dxa"/>
          </w:tcPr>
          <w:p w14:paraId="07E7CAC7"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625AF434"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56576CC5"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1B2DBD36" w14:textId="77777777">
        <w:tc>
          <w:tcPr>
            <w:tcW w:w="7182" w:type="dxa"/>
          </w:tcPr>
          <w:p w14:paraId="2DE0AC1C"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Ocena ilościowa i jakościowa Sprawozdania Beneficjenta oraz ustalenie poziomu istotności, biorąc pod uwagę wpływ potencjalnego zniekształcenia na wysokość otrzymanej pomocy oraz prawdopodobieństwo utracenia statusu, który zobowiązuje Wnioskodawcę do zwrotu pomocy publicznej; </w:t>
            </w:r>
          </w:p>
        </w:tc>
        <w:tc>
          <w:tcPr>
            <w:tcW w:w="680" w:type="dxa"/>
          </w:tcPr>
          <w:p w14:paraId="1F3770EF"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CF45498"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345E27E8"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41005C94" w14:textId="77777777">
        <w:tc>
          <w:tcPr>
            <w:tcW w:w="7182" w:type="dxa"/>
          </w:tcPr>
          <w:p w14:paraId="44C0707F" w14:textId="77777777" w:rsidR="0099206D" w:rsidRDefault="00FD00E8" w:rsidP="00D514E0">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Ocena ilościowa i jakościowa Informacji Beneficjenta oraz ustalenie poziomu istotności, biorąc pod uwagę wpływ potencjalnego zniekształcenia na wysokość otrzymanej pomocy oraz prawdopodobieństwo utracenia statusu, który zobowiązuje Wnioskodawcę do zwrotu pomocy publicznej;</w:t>
            </w:r>
          </w:p>
        </w:tc>
        <w:tc>
          <w:tcPr>
            <w:tcW w:w="680" w:type="dxa"/>
          </w:tcPr>
          <w:p w14:paraId="25A8949A"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07" w:type="dxa"/>
          </w:tcPr>
          <w:p w14:paraId="4F5990F7"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82" w:type="dxa"/>
          </w:tcPr>
          <w:p w14:paraId="3A1B3656" w14:textId="77777777" w:rsidR="0099206D" w:rsidRDefault="0099206D">
            <w:pPr>
              <w:pStyle w:val="IFACListStyle1"/>
              <w:tabs>
                <w:tab w:val="clear" w:pos="547"/>
                <w:tab w:val="left" w:pos="284"/>
              </w:tabs>
              <w:spacing w:after="240" w:line="240" w:lineRule="auto"/>
              <w:rPr>
                <w:rFonts w:ascii="Symbol" w:eastAsia="Tahoma" w:hAnsi="Symbol"/>
                <w:i/>
                <w:color w:val="000000"/>
                <w:lang w:val="pl-PL" w:eastAsia="pl-PL" w:bidi="pl-PL"/>
              </w:rPr>
            </w:pPr>
          </w:p>
        </w:tc>
      </w:tr>
      <w:tr w:rsidR="0099206D" w14:paraId="32D6ED93" w14:textId="77777777" w:rsidTr="00594F70">
        <w:trPr>
          <w:trHeight w:val="1959"/>
        </w:trPr>
        <w:tc>
          <w:tcPr>
            <w:tcW w:w="7182" w:type="dxa"/>
          </w:tcPr>
          <w:p w14:paraId="45EC83B7" w14:textId="77777777" w:rsidR="0099206D" w:rsidRDefault="00FD00E8">
            <w:pPr>
              <w:pStyle w:val="IFACListStyle1"/>
              <w:numPr>
                <w:ilvl w:val="0"/>
                <w:numId w:val="4"/>
              </w:numPr>
              <w:tabs>
                <w:tab w:val="clear" w:pos="547"/>
                <w:tab w:val="left" w:pos="284"/>
              </w:tabs>
              <w:spacing w:after="240" w:line="240" w:lineRule="auto"/>
              <w:ind w:left="284" w:hanging="284"/>
              <w:rPr>
                <w:rFonts w:ascii="Times New Roman" w:eastAsia="Tahoma" w:hAnsi="Times New Roman"/>
                <w:i/>
                <w:color w:val="000000"/>
                <w:sz w:val="22"/>
                <w:szCs w:val="22"/>
                <w:lang w:val="pl-PL" w:eastAsia="pl-PL" w:bidi="pl-PL"/>
              </w:rPr>
            </w:pPr>
            <w:r>
              <w:rPr>
                <w:rFonts w:ascii="Times New Roman" w:eastAsia="Tahoma" w:hAnsi="Times New Roman"/>
                <w:color w:val="000000"/>
                <w:sz w:val="22"/>
                <w:szCs w:val="22"/>
                <w:lang w:val="pl-PL" w:eastAsia="pl-PL" w:bidi="pl-PL"/>
              </w:rPr>
              <w:t xml:space="preserve">Omówienie z osobami odpowiedzialnymi za prowadzenie ksiąg rachunkowych w zakresie ujęcia transakcji związanych ze sprzedażą oraz zużyciem energii elektrycznej lub gazu ziemnego czy Beneficjent ujął odpowiednie pozycje przychodowe i kosztowe podlegające kwalifikacji wg Programu, oraz czy zasady rachunkowości stosowane przez Wnioskodawcę dla ustalania tych pozycji nie zmieniły się w okresach wnioskowanych lub kwalifikowanych. </w:t>
            </w:r>
          </w:p>
        </w:tc>
        <w:tc>
          <w:tcPr>
            <w:tcW w:w="680" w:type="dxa"/>
          </w:tcPr>
          <w:p w14:paraId="1D85D72E"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7" w:type="dxa"/>
          </w:tcPr>
          <w:p w14:paraId="329CAF11"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82" w:type="dxa"/>
          </w:tcPr>
          <w:p w14:paraId="3FF4F139"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bl>
    <w:p w14:paraId="7A650062" w14:textId="77777777" w:rsidR="0099206D" w:rsidRDefault="0099206D">
      <w:pPr>
        <w:pStyle w:val="IFACListStyle1"/>
        <w:spacing w:line="240" w:lineRule="auto"/>
        <w:rPr>
          <w:rFonts w:ascii="Times New Roman" w:eastAsia="Tahoma" w:hAnsi="Times New Roman"/>
          <w:i/>
          <w:color w:val="000000"/>
          <w:sz w:val="22"/>
          <w:szCs w:val="22"/>
          <w:u w:val="single"/>
          <w:lang w:val="pl-PL" w:eastAsia="pl-PL" w:bidi="pl-PL"/>
        </w:rPr>
      </w:pPr>
    </w:p>
    <w:tbl>
      <w:tblPr>
        <w:tblStyle w:val="Tabela-Siatka"/>
        <w:tblW w:w="9385" w:type="dxa"/>
        <w:tblLook w:val="04A0" w:firstRow="1" w:lastRow="0" w:firstColumn="1" w:lastColumn="0" w:noHBand="0" w:noVBand="1"/>
      </w:tblPr>
      <w:tblGrid>
        <w:gridCol w:w="7270"/>
        <w:gridCol w:w="601"/>
        <w:gridCol w:w="710"/>
        <w:gridCol w:w="804"/>
      </w:tblGrid>
      <w:tr w:rsidR="0099206D" w14:paraId="598296BB" w14:textId="77777777" w:rsidTr="00FD00E8">
        <w:trPr>
          <w:tblHeader/>
        </w:trPr>
        <w:tc>
          <w:tcPr>
            <w:tcW w:w="7270" w:type="dxa"/>
          </w:tcPr>
          <w:p w14:paraId="0FCCA398"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Ocena sposobu kalkulacji oraz sprawdzenie wyliczeń</w:t>
            </w:r>
          </w:p>
        </w:tc>
        <w:tc>
          <w:tcPr>
            <w:tcW w:w="601" w:type="dxa"/>
          </w:tcPr>
          <w:p w14:paraId="38ACB897"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10" w:type="dxa"/>
          </w:tcPr>
          <w:p w14:paraId="55323F70"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804" w:type="dxa"/>
          </w:tcPr>
          <w:p w14:paraId="03B88994"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14:paraId="624BC311" w14:textId="77777777" w:rsidTr="00FD00E8">
        <w:tc>
          <w:tcPr>
            <w:tcW w:w="7270" w:type="dxa"/>
          </w:tcPr>
          <w:p w14:paraId="01DD64F8"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Uzyskanie od kierownika Beneficjenta wyliczeń (dalej łącznie nazywane „</w:t>
            </w:r>
            <w:r>
              <w:rPr>
                <w:rFonts w:ascii="Times New Roman" w:eastAsia="Tahoma" w:hAnsi="Times New Roman"/>
                <w:b/>
                <w:bCs/>
                <w:color w:val="000000"/>
                <w:sz w:val="22"/>
                <w:szCs w:val="22"/>
                <w:lang w:val="pl-PL" w:eastAsia="pl-PL" w:bidi="pl-PL"/>
              </w:rPr>
              <w:t>Wyliczeniami”)</w:t>
            </w:r>
            <w:r>
              <w:rPr>
                <w:rFonts w:ascii="Times New Roman" w:eastAsia="Tahoma" w:hAnsi="Times New Roman"/>
                <w:color w:val="000000"/>
                <w:sz w:val="22"/>
                <w:szCs w:val="22"/>
                <w:lang w:val="pl-PL" w:eastAsia="pl-PL" w:bidi="pl-PL"/>
              </w:rPr>
              <w:t>:</w:t>
            </w:r>
          </w:p>
        </w:tc>
        <w:tc>
          <w:tcPr>
            <w:tcW w:w="601" w:type="dxa"/>
          </w:tcPr>
          <w:p w14:paraId="25773A30"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10" w:type="dxa"/>
          </w:tcPr>
          <w:p w14:paraId="6A0010D7"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804" w:type="dxa"/>
          </w:tcPr>
          <w:p w14:paraId="1F92EAF0"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r>
      <w:tr w:rsidR="0099206D" w14:paraId="0533CB6B" w14:textId="77777777" w:rsidTr="00FD00E8">
        <w:tc>
          <w:tcPr>
            <w:tcW w:w="7270" w:type="dxa"/>
          </w:tcPr>
          <w:p w14:paraId="0F8740C4" w14:textId="77777777"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struktury przychodów za ostatni zamknięty</w:t>
            </w:r>
            <w:r>
              <w:rPr>
                <w:rStyle w:val="Odwoanieprzypisudolnego"/>
                <w:rFonts w:ascii="Times New Roman" w:eastAsia="Tahoma" w:hAnsi="Times New Roman"/>
                <w:color w:val="000000"/>
                <w:sz w:val="22"/>
                <w:szCs w:val="22"/>
                <w:lang w:val="pl-PL" w:eastAsia="pl-PL" w:bidi="pl-PL"/>
              </w:rPr>
              <w:footnoteReference w:id="13"/>
            </w:r>
            <w:r>
              <w:rPr>
                <w:rFonts w:ascii="Times New Roman" w:eastAsia="Tahoma" w:hAnsi="Times New Roman"/>
                <w:color w:val="000000"/>
                <w:sz w:val="22"/>
                <w:szCs w:val="22"/>
                <w:lang w:val="pl-PL" w:eastAsia="pl-PL" w:bidi="pl-PL"/>
              </w:rPr>
              <w:t xml:space="preserve"> rok obrotowy w układzie kodów PKD lub kodów PRODCOM („</w:t>
            </w:r>
            <w:r>
              <w:rPr>
                <w:rFonts w:ascii="Times New Roman" w:eastAsia="Tahoma" w:hAnsi="Times New Roman"/>
                <w:b/>
                <w:bCs/>
                <w:color w:val="000000"/>
                <w:sz w:val="22"/>
                <w:szCs w:val="22"/>
                <w:lang w:val="pl-PL" w:eastAsia="pl-PL" w:bidi="pl-PL"/>
              </w:rPr>
              <w:t>Wyliczenie Przychodów</w:t>
            </w:r>
            <w:r>
              <w:rPr>
                <w:rFonts w:ascii="Times New Roman" w:eastAsia="Tahoma" w:hAnsi="Times New Roman"/>
                <w:color w:val="000000"/>
                <w:sz w:val="22"/>
                <w:szCs w:val="22"/>
                <w:lang w:val="pl-PL" w:eastAsia="pl-PL" w:bidi="pl-PL"/>
              </w:rPr>
              <w:t xml:space="preserve">”), </w:t>
            </w:r>
          </w:p>
        </w:tc>
        <w:tc>
          <w:tcPr>
            <w:tcW w:w="601" w:type="dxa"/>
          </w:tcPr>
          <w:p w14:paraId="52CC4DA8"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02CC178D"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6AB036D0"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495DCCAF" w14:textId="77777777" w:rsidTr="00FD00E8">
        <w:tc>
          <w:tcPr>
            <w:tcW w:w="7270" w:type="dxa"/>
          </w:tcPr>
          <w:p w14:paraId="2F0F8A09" w14:textId="7896EFD6"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wyliczenie kosztów zakupu energii elektrycznej lub gazu ziemnego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2021 roku oraz ich udziałów w przychodach w celu ustalenia, czy Wnioskodawca spełnia warunek do uzyskania pomocy</w:t>
            </w:r>
          </w:p>
        </w:tc>
        <w:tc>
          <w:tcPr>
            <w:tcW w:w="601" w:type="dxa"/>
          </w:tcPr>
          <w:p w14:paraId="022F3DA9"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695D2D52"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804" w:type="dxa"/>
          </w:tcPr>
          <w:p w14:paraId="36A09415" w14:textId="77777777" w:rsidR="0099206D" w:rsidRDefault="0099206D">
            <w:pPr>
              <w:pStyle w:val="IFACListStyle1"/>
              <w:tabs>
                <w:tab w:val="clear" w:pos="547"/>
                <w:tab w:val="left" w:pos="284"/>
              </w:tabs>
              <w:spacing w:after="240" w:line="240" w:lineRule="auto"/>
              <w:rPr>
                <w:rFonts w:ascii="Symbol" w:eastAsia="Tahoma" w:hAnsi="Symbol"/>
                <w:i/>
                <w:color w:val="000000"/>
                <w:lang w:val="pl-PL" w:eastAsia="pl-PL" w:bidi="pl-PL"/>
              </w:rPr>
            </w:pPr>
          </w:p>
        </w:tc>
      </w:tr>
      <w:tr w:rsidR="0099206D" w14:paraId="41683097" w14:textId="77777777" w:rsidTr="00FD00E8">
        <w:tc>
          <w:tcPr>
            <w:tcW w:w="7270" w:type="dxa"/>
          </w:tcPr>
          <w:p w14:paraId="2E82345C" w14:textId="1A8EF848"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wyliczenia kosztów zakupu energii elektrycznej lub gazu ziemnego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odpowiednio okresie wnioskowanym (dla pomocy podstawowej) lub okresie kwalifikowanym (dla pomocy zwiększonej) wraz z zestawieniem faktur w ramach załącznika „zestawienie dowodów księgowych potwierdzających poniesienie kosztów w okresie wnioskowanym – w zakresie gazu ziemnego lub energii elektrycznej” („</w:t>
            </w:r>
            <w:r>
              <w:rPr>
                <w:rFonts w:ascii="Times New Roman" w:eastAsia="Tahoma" w:hAnsi="Times New Roman"/>
                <w:b/>
                <w:bCs/>
                <w:color w:val="000000"/>
                <w:sz w:val="22"/>
                <w:szCs w:val="22"/>
                <w:lang w:val="pl-PL" w:eastAsia="pl-PL" w:bidi="pl-PL"/>
              </w:rPr>
              <w:t>Wyliczenie Kosztów</w:t>
            </w:r>
            <w:r>
              <w:rPr>
                <w:rFonts w:ascii="Times New Roman" w:eastAsia="Tahoma" w:hAnsi="Times New Roman"/>
                <w:color w:val="000000"/>
                <w:sz w:val="22"/>
                <w:szCs w:val="22"/>
                <w:lang w:val="pl-PL" w:eastAsia="pl-PL" w:bidi="pl-PL"/>
              </w:rPr>
              <w:t>”),</w:t>
            </w:r>
          </w:p>
        </w:tc>
        <w:tc>
          <w:tcPr>
            <w:tcW w:w="601" w:type="dxa"/>
          </w:tcPr>
          <w:p w14:paraId="541F7EA5"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574A55E2"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c>
          <w:tcPr>
            <w:tcW w:w="804" w:type="dxa"/>
          </w:tcPr>
          <w:p w14:paraId="59CDA60D" w14:textId="77777777" w:rsidR="0099206D" w:rsidRDefault="0099206D">
            <w:pPr>
              <w:pStyle w:val="IFACListStyle1"/>
              <w:numPr>
                <w:ilvl w:val="0"/>
                <w:numId w:val="26"/>
              </w:numPr>
              <w:tabs>
                <w:tab w:val="clear" w:pos="547"/>
                <w:tab w:val="left" w:pos="284"/>
              </w:tabs>
              <w:spacing w:after="240" w:line="240" w:lineRule="auto"/>
              <w:rPr>
                <w:rFonts w:ascii="Times New Roman" w:eastAsia="Tahoma" w:hAnsi="Times New Roman"/>
                <w:color w:val="000000"/>
                <w:sz w:val="22"/>
                <w:szCs w:val="22"/>
                <w:lang w:val="pl-PL" w:eastAsia="pl-PL" w:bidi="pl-PL"/>
              </w:rPr>
            </w:pPr>
          </w:p>
        </w:tc>
      </w:tr>
      <w:tr w:rsidR="0099206D" w14:paraId="218F22D0" w14:textId="77777777" w:rsidTr="00FD00E8">
        <w:tc>
          <w:tcPr>
            <w:tcW w:w="7270" w:type="dxa"/>
          </w:tcPr>
          <w:p w14:paraId="551CF1F6" w14:textId="77777777"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wyliczenia ilości nabytej energii elektrycznej i/lub gazu ziemnego wykorzystywanych na potrzeby własne odpowiednio w kwalifikowanym i/lub wnioskowanych okresach uwzględniające informacje o:</w:t>
            </w:r>
          </w:p>
        </w:tc>
        <w:tc>
          <w:tcPr>
            <w:tcW w:w="601" w:type="dxa"/>
          </w:tcPr>
          <w:p w14:paraId="527B53C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604A5C06"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1FB944BF"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3C0517B5" w14:textId="77777777" w:rsidTr="00FD00E8">
        <w:tc>
          <w:tcPr>
            <w:tcW w:w="7270" w:type="dxa"/>
          </w:tcPr>
          <w:p w14:paraId="0B374DB9"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zakupie łącznym energii elektrycznej,</w:t>
            </w:r>
          </w:p>
        </w:tc>
        <w:tc>
          <w:tcPr>
            <w:tcW w:w="601" w:type="dxa"/>
          </w:tcPr>
          <w:p w14:paraId="63AD629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0DACE18D"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3C55A0C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0FD991C6" w14:textId="77777777" w:rsidTr="00FD00E8">
        <w:tc>
          <w:tcPr>
            <w:tcW w:w="7270" w:type="dxa"/>
          </w:tcPr>
          <w:p w14:paraId="2A6B3D71"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zakupie na potrzeby własne Beneficjenta (w celu zużycia jako odbiorca końcowy),</w:t>
            </w:r>
          </w:p>
        </w:tc>
        <w:tc>
          <w:tcPr>
            <w:tcW w:w="601" w:type="dxa"/>
          </w:tcPr>
          <w:p w14:paraId="6F20E4D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5BF86000"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6287D3E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42FB1425" w14:textId="77777777" w:rsidTr="00FD00E8">
        <w:tc>
          <w:tcPr>
            <w:tcW w:w="7270" w:type="dxa"/>
          </w:tcPr>
          <w:p w14:paraId="28BA23A3"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zakupie na potrzeby wytwarzania, przesyłania lub dystrybucji energii elektrycznej (o ile dotyczy),</w:t>
            </w:r>
          </w:p>
        </w:tc>
        <w:tc>
          <w:tcPr>
            <w:tcW w:w="601" w:type="dxa"/>
          </w:tcPr>
          <w:p w14:paraId="07F5DB5E"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7DED4CA2"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13A1D87E"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03C244A7" w14:textId="77777777" w:rsidTr="00FD00E8">
        <w:tc>
          <w:tcPr>
            <w:tcW w:w="7270" w:type="dxa"/>
          </w:tcPr>
          <w:p w14:paraId="35409606"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zakupie przeznaczonym do dalszej odsprzedaży, w tym na zasadzie refaktury (z podziałem na transakcje w grupie kapitałowej albo poza grupą kapitałową),</w:t>
            </w:r>
          </w:p>
        </w:tc>
        <w:tc>
          <w:tcPr>
            <w:tcW w:w="601" w:type="dxa"/>
          </w:tcPr>
          <w:p w14:paraId="09C8421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629B5081"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7B6C45E4"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64E52563" w14:textId="77777777" w:rsidTr="00FD00E8">
        <w:tc>
          <w:tcPr>
            <w:tcW w:w="7270" w:type="dxa"/>
          </w:tcPr>
          <w:p w14:paraId="4ED061DB" w14:textId="5DB6E37B"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wyliczenia oraz opisu sposobu obliczenia średniej ceny netto energii elektrycznej i/lub gazu ziemnego w 2021 r. oraz we wnioskowanych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kwalifikowanych okresach 2023 r., ze wskazaniem dokonanych </w:t>
            </w:r>
            <w:proofErr w:type="spellStart"/>
            <w:r>
              <w:rPr>
                <w:rFonts w:ascii="Times New Roman" w:eastAsia="Tahoma" w:hAnsi="Times New Roman"/>
                <w:color w:val="000000"/>
                <w:sz w:val="22"/>
                <w:szCs w:val="22"/>
                <w:lang w:val="pl-PL" w:eastAsia="pl-PL" w:bidi="pl-PL"/>
              </w:rPr>
              <w:t>wyłączeń</w:t>
            </w:r>
            <w:proofErr w:type="spellEnd"/>
            <w:r>
              <w:rPr>
                <w:rFonts w:ascii="Times New Roman" w:eastAsia="Tahoma" w:hAnsi="Times New Roman"/>
                <w:color w:val="000000"/>
                <w:sz w:val="22"/>
                <w:szCs w:val="22"/>
                <w:lang w:val="pl-PL" w:eastAsia="pl-PL" w:bidi="pl-PL"/>
              </w:rPr>
              <w:t xml:space="preserve">: </w:t>
            </w:r>
          </w:p>
        </w:tc>
        <w:tc>
          <w:tcPr>
            <w:tcW w:w="601" w:type="dxa"/>
          </w:tcPr>
          <w:p w14:paraId="2B46E85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5A4B82DB"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1DE7E91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06D216C7" w14:textId="77777777" w:rsidTr="00FD00E8">
        <w:tc>
          <w:tcPr>
            <w:tcW w:w="7270" w:type="dxa"/>
          </w:tcPr>
          <w:p w14:paraId="45D83C9A" w14:textId="12DE7806"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niekwalifikowanych opłat (w tym opłat za dystrybucję energii elektrycznej, opłaty </w:t>
            </w:r>
            <w:proofErr w:type="spellStart"/>
            <w:r>
              <w:rPr>
                <w:rFonts w:ascii="Times New Roman" w:eastAsia="Tahoma" w:hAnsi="Times New Roman"/>
                <w:color w:val="000000"/>
                <w:sz w:val="22"/>
                <w:szCs w:val="22"/>
                <w:lang w:val="pl-PL" w:eastAsia="pl-PL" w:bidi="pl-PL"/>
              </w:rPr>
              <w:t>mocowej</w:t>
            </w:r>
            <w:proofErr w:type="spellEnd"/>
            <w:r>
              <w:rPr>
                <w:rFonts w:ascii="Times New Roman" w:eastAsia="Tahoma" w:hAnsi="Times New Roman"/>
                <w:color w:val="000000"/>
                <w:sz w:val="22"/>
                <w:szCs w:val="22"/>
                <w:lang w:val="pl-PL" w:eastAsia="pl-PL" w:bidi="pl-PL"/>
              </w:rPr>
              <w:t>, marży sprzedawcy, innych opłat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składników określonych w umowach), </w:t>
            </w:r>
          </w:p>
        </w:tc>
        <w:tc>
          <w:tcPr>
            <w:tcW w:w="601" w:type="dxa"/>
          </w:tcPr>
          <w:p w14:paraId="1399C088"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0C7BDA0E"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06690ADB"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7503FDC9" w14:textId="77777777" w:rsidTr="00FD00E8">
        <w:tc>
          <w:tcPr>
            <w:tcW w:w="7270" w:type="dxa"/>
          </w:tcPr>
          <w:p w14:paraId="44C09201"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niekwalifikowanych podatków (VAT oraz akcyza), </w:t>
            </w:r>
          </w:p>
        </w:tc>
        <w:tc>
          <w:tcPr>
            <w:tcW w:w="601" w:type="dxa"/>
          </w:tcPr>
          <w:p w14:paraId="2AAE15AB"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73820AC6"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5EE43CF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1D1F4C28" w14:textId="77777777" w:rsidTr="00FD00E8">
        <w:tc>
          <w:tcPr>
            <w:tcW w:w="7270" w:type="dxa"/>
          </w:tcPr>
          <w:p w14:paraId="352C065A"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pozostałych niekwalifikowanych kosztów i zobowiązań (związanych np. ze świadectwami pochodzenia);</w:t>
            </w:r>
          </w:p>
        </w:tc>
        <w:tc>
          <w:tcPr>
            <w:tcW w:w="601" w:type="dxa"/>
          </w:tcPr>
          <w:p w14:paraId="74FC67C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12257F1B"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4389EB9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261F8487" w14:textId="77777777" w:rsidTr="00FD00E8">
        <w:tc>
          <w:tcPr>
            <w:tcW w:w="7270" w:type="dxa"/>
          </w:tcPr>
          <w:p w14:paraId="54B967A2" w14:textId="77777777"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wyliczenia EBITDA w okresie referencyjnym oraz w okresie kwalifikowanym („</w:t>
            </w:r>
            <w:r>
              <w:rPr>
                <w:rFonts w:ascii="Times New Roman" w:eastAsia="Tahoma" w:hAnsi="Times New Roman"/>
                <w:b/>
                <w:bCs/>
                <w:color w:val="000000"/>
                <w:sz w:val="22"/>
                <w:szCs w:val="22"/>
                <w:lang w:val="pl-PL" w:eastAsia="pl-PL" w:bidi="pl-PL"/>
              </w:rPr>
              <w:t>Wyliczenie EBITDA</w:t>
            </w:r>
            <w:r>
              <w:rPr>
                <w:rFonts w:ascii="Times New Roman" w:eastAsia="Tahoma" w:hAnsi="Times New Roman"/>
                <w:color w:val="000000"/>
                <w:sz w:val="22"/>
                <w:szCs w:val="22"/>
                <w:lang w:val="pl-PL" w:eastAsia="pl-PL" w:bidi="pl-PL"/>
              </w:rPr>
              <w:t>”), przy czym wartość wskaźnika EBITDA Beneficjenta w okresie kwalifikowanym, z uwzględnieniem łącznej pomocy, nie może przekroczyć 70% jego wartości w okresie referencyjnym</w:t>
            </w:r>
            <w:r>
              <w:rPr>
                <w:rStyle w:val="Odwoanieprzypisudolnego"/>
                <w:rFonts w:ascii="Times New Roman" w:eastAsia="Tahoma" w:hAnsi="Times New Roman"/>
                <w:color w:val="000000"/>
                <w:sz w:val="22"/>
                <w:szCs w:val="22"/>
                <w:lang w:val="pl-PL" w:eastAsia="pl-PL" w:bidi="pl-PL"/>
              </w:rPr>
              <w:footnoteReference w:id="14"/>
            </w:r>
            <w:r>
              <w:rPr>
                <w:rFonts w:ascii="Times New Roman" w:eastAsia="Tahoma" w:hAnsi="Times New Roman"/>
                <w:color w:val="000000"/>
                <w:sz w:val="22"/>
                <w:szCs w:val="22"/>
                <w:lang w:val="pl-PL" w:eastAsia="pl-PL" w:bidi="pl-PL"/>
              </w:rPr>
              <w:t>;</w:t>
            </w:r>
          </w:p>
        </w:tc>
        <w:tc>
          <w:tcPr>
            <w:tcW w:w="601" w:type="dxa"/>
          </w:tcPr>
          <w:p w14:paraId="67C9882B"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10" w:type="dxa"/>
          </w:tcPr>
          <w:p w14:paraId="3979BD0D"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0E5676FD" w14:textId="77777777" w:rsidR="0099206D" w:rsidRDefault="0099206D">
            <w:pPr>
              <w:pStyle w:val="IFACListStyle1"/>
              <w:numPr>
                <w:ilvl w:val="0"/>
                <w:numId w:val="4"/>
              </w:numPr>
              <w:tabs>
                <w:tab w:val="clear" w:pos="547"/>
                <w:tab w:val="left" w:pos="284"/>
              </w:tabs>
              <w:spacing w:line="240" w:lineRule="auto"/>
              <w:rPr>
                <w:rFonts w:ascii="Symbol" w:eastAsia="Tahoma" w:hAnsi="Symbol"/>
                <w:i/>
                <w:color w:val="000000"/>
                <w:lang w:val="pl-PL" w:eastAsia="pl-PL" w:bidi="pl-PL"/>
              </w:rPr>
            </w:pPr>
          </w:p>
        </w:tc>
      </w:tr>
      <w:tr w:rsidR="0099206D" w14:paraId="4823C63E" w14:textId="77777777" w:rsidTr="00FD00E8">
        <w:tc>
          <w:tcPr>
            <w:tcW w:w="7270" w:type="dxa"/>
          </w:tcPr>
          <w:p w14:paraId="222C06DC"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Sprawdzenie matematycznej poprawności wszystkich w/w Wyliczeń;</w:t>
            </w:r>
          </w:p>
        </w:tc>
        <w:tc>
          <w:tcPr>
            <w:tcW w:w="601" w:type="dxa"/>
          </w:tcPr>
          <w:p w14:paraId="0E0FFB45"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16273546"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804" w:type="dxa"/>
          </w:tcPr>
          <w:p w14:paraId="79338289"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17EC4A32" w14:textId="77777777" w:rsidTr="00FD00E8">
        <w:tc>
          <w:tcPr>
            <w:tcW w:w="7270" w:type="dxa"/>
          </w:tcPr>
          <w:p w14:paraId="1F7917C2"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Weryfikacja czy dane (ilości nabytych nośników energii, średnia cena netto) odnoszące się do okresu referencyjnego w Sprawozdaniu Beneficjenta za okres wnioskowany lub kwalifikowany, są spójne z danymi za okres referencyjny prezentowanymi w Sprawozdaniu Beneficjenta załączonymi do rozliczenia pomocy z poprzedniej edycji oraz wyjaśnienie i ocena ewentualnych różnic;</w:t>
            </w:r>
          </w:p>
        </w:tc>
        <w:tc>
          <w:tcPr>
            <w:tcW w:w="601" w:type="dxa"/>
          </w:tcPr>
          <w:p w14:paraId="03914226"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76A36905"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7600CE0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5054DDAF" w14:textId="77777777" w:rsidTr="00FD00E8">
        <w:tc>
          <w:tcPr>
            <w:tcW w:w="7270" w:type="dxa"/>
          </w:tcPr>
          <w:p w14:paraId="5EE71270" w14:textId="7F0BF6B2"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hAnsi="Times New Roman"/>
                <w:bCs/>
                <w:sz w:val="22"/>
                <w:szCs w:val="22"/>
                <w:lang w:val="pl-PL" w:bidi="pl-PL"/>
              </w:rPr>
              <w:t>Zapoznanie się, jeżeli dotyczy, ze złożonym wnioskiem Beneficjenta o</w:t>
            </w:r>
            <w:r w:rsidR="002847DD">
              <w:rPr>
                <w:rFonts w:ascii="Times New Roman" w:hAnsi="Times New Roman"/>
                <w:bCs/>
                <w:sz w:val="22"/>
                <w:szCs w:val="22"/>
                <w:lang w:val="pl-PL" w:bidi="pl-PL"/>
              </w:rPr>
              <w:t> </w:t>
            </w:r>
            <w:r>
              <w:rPr>
                <w:rFonts w:ascii="Times New Roman" w:hAnsi="Times New Roman"/>
                <w:bCs/>
                <w:sz w:val="22"/>
                <w:szCs w:val="22"/>
                <w:lang w:val="pl-PL" w:bidi="pl-PL"/>
              </w:rPr>
              <w:t xml:space="preserve">rozliczenie pomocy podstawowej złożonym w ramach rządowego programu </w:t>
            </w:r>
            <w:hyperlink r:id="rId10" w:history="1">
              <w:r>
                <w:rPr>
                  <w:rFonts w:ascii="Times New Roman" w:hAnsi="Times New Roman"/>
                  <w:bCs/>
                  <w:sz w:val="22"/>
                  <w:szCs w:val="22"/>
                  <w:lang w:val="pl-PL" w:bidi="pl-PL"/>
                </w:rPr>
                <w:t>„Pomoc dla sektorów energochłonnych związana z nagłymi wzrostami cen gazu ziemnego i energii elektrycznej w 2022 r.”</w:t>
              </w:r>
            </w:hyperlink>
            <w:r>
              <w:rPr>
                <w:rFonts w:ascii="Times New Roman" w:hAnsi="Times New Roman"/>
                <w:bCs/>
                <w:sz w:val="22"/>
                <w:szCs w:val="22"/>
                <w:lang w:val="pl-PL" w:bidi="pl-PL"/>
              </w:rPr>
              <w:t>/ wnioskiem o</w:t>
            </w:r>
            <w:r w:rsidR="002847DD">
              <w:rPr>
                <w:rFonts w:ascii="Times New Roman" w:hAnsi="Times New Roman"/>
                <w:bCs/>
                <w:sz w:val="22"/>
                <w:szCs w:val="22"/>
                <w:lang w:val="pl-PL" w:bidi="pl-PL"/>
              </w:rPr>
              <w:t> </w:t>
            </w:r>
            <w:r>
              <w:rPr>
                <w:rFonts w:ascii="Times New Roman" w:hAnsi="Times New Roman"/>
                <w:bCs/>
                <w:sz w:val="22"/>
                <w:szCs w:val="22"/>
                <w:lang w:val="pl-PL" w:bidi="pl-PL"/>
              </w:rPr>
              <w:t>przyznanie pomocy zwiększonej za okres od 1 stycznia do 31 grudnia 2023 roku / wnioskiem o udzielenie pomocy podstawowej za pierwszy okres wnioskowany i ustalenie, czy istnieją różnice pomiędzy tym wnioskiem a</w:t>
            </w:r>
            <w:r w:rsidR="002847DD">
              <w:rPr>
                <w:rFonts w:ascii="Times New Roman" w:hAnsi="Times New Roman"/>
                <w:bCs/>
                <w:sz w:val="22"/>
                <w:szCs w:val="22"/>
                <w:lang w:val="pl-PL" w:bidi="pl-PL"/>
              </w:rPr>
              <w:t> </w:t>
            </w:r>
            <w:r>
              <w:rPr>
                <w:rFonts w:ascii="Times New Roman" w:hAnsi="Times New Roman"/>
                <w:bCs/>
                <w:sz w:val="22"/>
                <w:szCs w:val="22"/>
                <w:lang w:val="pl-PL" w:bidi="pl-PL"/>
              </w:rPr>
              <w:t>odpowiednio Informacją Beneficjenta lub Sprawozdaniem Beneficjenta w</w:t>
            </w:r>
            <w:r w:rsidR="002847DD">
              <w:rPr>
                <w:rFonts w:ascii="Times New Roman" w:hAnsi="Times New Roman"/>
                <w:bCs/>
                <w:sz w:val="22"/>
                <w:szCs w:val="22"/>
                <w:lang w:val="pl-PL" w:bidi="pl-PL"/>
              </w:rPr>
              <w:t> </w:t>
            </w:r>
            <w:r>
              <w:rPr>
                <w:rFonts w:ascii="Times New Roman" w:hAnsi="Times New Roman"/>
                <w:bCs/>
                <w:sz w:val="22"/>
                <w:szCs w:val="22"/>
                <w:lang w:val="pl-PL" w:bidi="pl-PL"/>
              </w:rPr>
              <w:t>zakresie informacji, danych i przyjętych założeń;</w:t>
            </w:r>
          </w:p>
        </w:tc>
        <w:tc>
          <w:tcPr>
            <w:tcW w:w="601" w:type="dxa"/>
          </w:tcPr>
          <w:p w14:paraId="61BB4E51"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69B86E63" w14:textId="77777777" w:rsidR="0099206D" w:rsidRDefault="0099206D">
            <w:pPr>
              <w:pStyle w:val="IFACListStyle1"/>
              <w:numPr>
                <w:ilvl w:val="0"/>
                <w:numId w:val="26"/>
              </w:numPr>
              <w:tabs>
                <w:tab w:val="clear" w:pos="547"/>
                <w:tab w:val="left" w:pos="284"/>
              </w:tabs>
              <w:spacing w:line="240" w:lineRule="auto"/>
              <w:rPr>
                <w:rFonts w:ascii="Times New Roman" w:eastAsia="Tahoma" w:hAnsi="Times New Roman"/>
                <w:color w:val="000000"/>
                <w:sz w:val="22"/>
                <w:szCs w:val="22"/>
                <w:lang w:val="pl-PL" w:eastAsia="pl-PL" w:bidi="pl-PL"/>
              </w:rPr>
            </w:pPr>
          </w:p>
        </w:tc>
        <w:tc>
          <w:tcPr>
            <w:tcW w:w="804" w:type="dxa"/>
          </w:tcPr>
          <w:p w14:paraId="636FBA8F"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11EB8427" w14:textId="77777777" w:rsidTr="00FD00E8">
        <w:tc>
          <w:tcPr>
            <w:tcW w:w="7270" w:type="dxa"/>
          </w:tcPr>
          <w:p w14:paraId="62C96554"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Sprawdzenie czy wyliczenia zostały dokonane na podstawie przyjętych przez Beneficjenta założeń oraz zgodnie z Podstawą Sporządzenia;</w:t>
            </w:r>
          </w:p>
        </w:tc>
        <w:tc>
          <w:tcPr>
            <w:tcW w:w="601" w:type="dxa"/>
          </w:tcPr>
          <w:p w14:paraId="634130CA"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56F99717"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402621CD"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06897103" w14:textId="77777777" w:rsidTr="00FD00E8">
        <w:tc>
          <w:tcPr>
            <w:tcW w:w="7270" w:type="dxa"/>
          </w:tcPr>
          <w:p w14:paraId="13397502"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Uzgodnienie przychodów oraz zestawienia faktur kosztowych z danymi wynikającymi ze sprawozdań finansowych, ksiąg rachunkowych lub innymi dowodami, rejestrami i wyciągami, w tym danymi wynikającymi z faktur zakupu energii, rejestrów lub innych dowodów (uzgodnienie zapisów księgowych do dokumentów źródłowych na wybranej próbie lub całej populacji);</w:t>
            </w:r>
          </w:p>
        </w:tc>
        <w:tc>
          <w:tcPr>
            <w:tcW w:w="601" w:type="dxa"/>
          </w:tcPr>
          <w:p w14:paraId="1E4A80FB"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2B42D9F4"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3EB02508"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45E734BC" w14:textId="77777777" w:rsidTr="00FD00E8">
        <w:tc>
          <w:tcPr>
            <w:tcW w:w="7270" w:type="dxa"/>
          </w:tcPr>
          <w:p w14:paraId="61C1300B"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Analiza zapisów na odpowiednich kontach pod kątem poprawności zaklasyfikowania zgodnie z przyjętymi zasadami (polityką rachunkowości) opisanymi w Podstawie Sporządzenia i kompletności przychodów i kosztów (np. analiza miesięczna kosztów w podziale na okresy), w tym uzgodnienie zapisów księgowych do dokumentów źródłowych /dowodów na wybranej próbie;</w:t>
            </w:r>
          </w:p>
        </w:tc>
        <w:tc>
          <w:tcPr>
            <w:tcW w:w="601" w:type="dxa"/>
          </w:tcPr>
          <w:p w14:paraId="4B5CF96D"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48D9A5DC"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60BCCBE7"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37B5F001" w14:textId="77777777" w:rsidTr="00FD00E8">
        <w:tc>
          <w:tcPr>
            <w:tcW w:w="7270" w:type="dxa"/>
          </w:tcPr>
          <w:p w14:paraId="51DEE5A4"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Przeprowadzenie procedur typu </w:t>
            </w:r>
            <w:proofErr w:type="spellStart"/>
            <w:r>
              <w:rPr>
                <w:rFonts w:ascii="Times New Roman" w:eastAsia="Tahoma" w:hAnsi="Times New Roman"/>
                <w:color w:val="000000"/>
                <w:sz w:val="22"/>
                <w:szCs w:val="22"/>
                <w:lang w:val="pl-PL" w:eastAsia="pl-PL" w:bidi="pl-PL"/>
              </w:rPr>
              <w:t>cut</w:t>
            </w:r>
            <w:proofErr w:type="spellEnd"/>
            <w:r>
              <w:rPr>
                <w:rFonts w:ascii="Times New Roman" w:eastAsia="Tahoma" w:hAnsi="Times New Roman"/>
                <w:color w:val="000000"/>
                <w:sz w:val="22"/>
                <w:szCs w:val="22"/>
                <w:lang w:val="pl-PL" w:eastAsia="pl-PL" w:bidi="pl-PL"/>
              </w:rPr>
              <w:t xml:space="preserve">-off (rozgraniczenie w czasie) przychodów i kosztów odpowiednio na początek i koniec okresu objętego wyliczeniami (rok lub półrocze, jeśli pomoc w zwiększonej kwocie opiera się na danych za półrocza), w zależności od oceny wystarczalności procedur wykonanych w trakcie badań sprawozdań finansowych; </w:t>
            </w:r>
          </w:p>
        </w:tc>
        <w:tc>
          <w:tcPr>
            <w:tcW w:w="601" w:type="dxa"/>
          </w:tcPr>
          <w:p w14:paraId="6F1C9A25"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375267EA"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6F695A31"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B502358" w14:textId="77777777" w:rsidTr="00FD00E8">
        <w:tc>
          <w:tcPr>
            <w:tcW w:w="7270" w:type="dxa"/>
          </w:tcPr>
          <w:p w14:paraId="59C526E9"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Sprawdzenie czy Wyliczenie Kosztów w 2021 r. stanowiły łącznie nie mniej niż 3% wartości produkcji sprzedanej; </w:t>
            </w:r>
          </w:p>
        </w:tc>
        <w:tc>
          <w:tcPr>
            <w:tcW w:w="601" w:type="dxa"/>
          </w:tcPr>
          <w:p w14:paraId="7B729C98"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76EE7F42"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3694F38C"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4A4B75EB" w14:textId="77777777" w:rsidTr="00FD00E8">
        <w:tc>
          <w:tcPr>
            <w:tcW w:w="7270" w:type="dxa"/>
          </w:tcPr>
          <w:p w14:paraId="1C68A683"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Porównanie czy kody PKD w Sprawozdaniu Beneficjenta są zgodne z kodami PKD ujawnionymi w KRS, wyjaśnienie ewentualnych różnic, jeżeli Beneficjent stosuje PKD;</w:t>
            </w:r>
          </w:p>
        </w:tc>
        <w:tc>
          <w:tcPr>
            <w:tcW w:w="601" w:type="dxa"/>
          </w:tcPr>
          <w:p w14:paraId="75C8A443"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2D5292C8"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53D5C09F"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06B36710" w14:textId="77777777" w:rsidTr="00FD00E8">
        <w:tc>
          <w:tcPr>
            <w:tcW w:w="7270" w:type="dxa"/>
          </w:tcPr>
          <w:p w14:paraId="4BF79043"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Porównanie czy kody PKD </w:t>
            </w:r>
            <w:r>
              <w:rPr>
                <w:rStyle w:val="Teksttreci2"/>
                <w:rFonts w:eastAsia="Tahoma"/>
                <w:color w:val="auto"/>
              </w:rPr>
              <w:t>(</w:t>
            </w:r>
            <w:r>
              <w:rPr>
                <w:rStyle w:val="Teksttreci2"/>
                <w:rFonts w:eastAsia="Tahoma"/>
              </w:rPr>
              <w:t>oraz</w:t>
            </w:r>
            <w:r>
              <w:rPr>
                <w:rStyle w:val="Teksttreci2"/>
                <w:rFonts w:eastAsia="Tahoma"/>
                <w:color w:val="auto"/>
                <w:sz w:val="22"/>
                <w:szCs w:val="22"/>
              </w:rPr>
              <w:t xml:space="preserve"> PRODCOM)</w:t>
            </w:r>
            <w:r>
              <w:rPr>
                <w:rFonts w:ascii="Times New Roman" w:eastAsia="Tahoma" w:hAnsi="Times New Roman"/>
                <w:color w:val="000000"/>
                <w:sz w:val="22"/>
                <w:szCs w:val="22"/>
                <w:lang w:val="pl-PL" w:eastAsia="pl-PL" w:bidi="pl-PL"/>
              </w:rPr>
              <w:t xml:space="preserve"> w Informacji Beneficjenta są zgodne z kodami PKD ujawnionymi w KRS, wyjaśnienie ewentualnych różnic, jeżeli Beneficjent stosuje PKD;</w:t>
            </w:r>
          </w:p>
        </w:tc>
        <w:tc>
          <w:tcPr>
            <w:tcW w:w="601" w:type="dxa"/>
          </w:tcPr>
          <w:p w14:paraId="736636A6"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10" w:type="dxa"/>
          </w:tcPr>
          <w:p w14:paraId="334B761E"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70FF2175" w14:textId="77777777" w:rsidR="0099206D" w:rsidRDefault="0099206D">
            <w:pPr>
              <w:pStyle w:val="IFACListStyle1"/>
              <w:tabs>
                <w:tab w:val="clear" w:pos="547"/>
                <w:tab w:val="left" w:pos="284"/>
              </w:tabs>
              <w:spacing w:after="240" w:line="240" w:lineRule="auto"/>
              <w:rPr>
                <w:rFonts w:ascii="Symbol" w:eastAsia="Tahoma" w:hAnsi="Symbol"/>
                <w:i/>
                <w:color w:val="000000"/>
                <w:lang w:val="pl-PL" w:eastAsia="pl-PL" w:bidi="pl-PL"/>
              </w:rPr>
            </w:pPr>
          </w:p>
        </w:tc>
      </w:tr>
      <w:tr w:rsidR="0099206D" w14:paraId="1FA67394" w14:textId="77777777" w:rsidTr="00FD00E8">
        <w:tc>
          <w:tcPr>
            <w:tcW w:w="7270" w:type="dxa"/>
          </w:tcPr>
          <w:p w14:paraId="2B859779"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Weryfikacja, na wybranej próbie, czy kody statystyczne prezentowane na fakturach sprzedaży, rejestrach lub rachunkowości są powiązane z kodami PKD wykazanymi odpowiednio w Informacji Beneficjenta lub Sprawozdaniu Beneficjenta;</w:t>
            </w:r>
          </w:p>
        </w:tc>
        <w:tc>
          <w:tcPr>
            <w:tcW w:w="601" w:type="dxa"/>
          </w:tcPr>
          <w:p w14:paraId="3F10BB73"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7FF3F0FB"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4C70D4F4"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71565683" w14:textId="77777777" w:rsidTr="00FD00E8">
        <w:tc>
          <w:tcPr>
            <w:tcW w:w="7270" w:type="dxa"/>
          </w:tcPr>
          <w:p w14:paraId="4FACAD90" w14:textId="06726E43"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 xml:space="preserve">Uzyskanie zrozumienia założeń przyjętych do Wyliczenia EBITDA (np. uzasadnienie dokonanych </w:t>
            </w:r>
            <w:proofErr w:type="spellStart"/>
            <w:r>
              <w:rPr>
                <w:rFonts w:ascii="Times New Roman" w:eastAsia="Tahoma" w:hAnsi="Times New Roman"/>
                <w:color w:val="000000"/>
                <w:sz w:val="22"/>
                <w:szCs w:val="22"/>
                <w:lang w:val="pl-PL" w:eastAsia="pl-PL" w:bidi="pl-PL"/>
              </w:rPr>
              <w:t>wyłączeń</w:t>
            </w:r>
            <w:proofErr w:type="spellEnd"/>
            <w:r>
              <w:rPr>
                <w:rFonts w:ascii="Times New Roman" w:eastAsia="Tahoma" w:hAnsi="Times New Roman"/>
                <w:color w:val="000000"/>
                <w:sz w:val="22"/>
                <w:szCs w:val="22"/>
                <w:lang w:val="pl-PL" w:eastAsia="pl-PL" w:bidi="pl-PL"/>
              </w:rPr>
              <w:t>, uzasadnienie jednorazowych strat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tytułu utraty wartości w wyliczeniu EBITDA) oraz dokonanie oceny racjonalności i spójności przyjętych przez Beneficjenta założeń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terminami/definicjami i założeniami programu rządowego oraz w świetle wiedzy biegłego rewidenta uzyskanej podczas badania sprawozdania finansowego Beneficjenta;</w:t>
            </w:r>
          </w:p>
        </w:tc>
        <w:tc>
          <w:tcPr>
            <w:tcW w:w="601" w:type="dxa"/>
          </w:tcPr>
          <w:p w14:paraId="2E8B3B04"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c>
          <w:tcPr>
            <w:tcW w:w="710" w:type="dxa"/>
          </w:tcPr>
          <w:p w14:paraId="2E63C9CB"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c>
          <w:tcPr>
            <w:tcW w:w="804" w:type="dxa"/>
          </w:tcPr>
          <w:p w14:paraId="45413335" w14:textId="77777777" w:rsidR="0099206D" w:rsidRDefault="0099206D">
            <w:pPr>
              <w:pStyle w:val="IFACListStyle1"/>
              <w:numPr>
                <w:ilvl w:val="0"/>
                <w:numId w:val="4"/>
              </w:numPr>
              <w:tabs>
                <w:tab w:val="clear" w:pos="547"/>
                <w:tab w:val="left" w:pos="284"/>
              </w:tabs>
              <w:spacing w:after="240" w:line="240" w:lineRule="auto"/>
              <w:ind w:hanging="457"/>
              <w:rPr>
                <w:rFonts w:ascii="Symbol" w:eastAsia="Tahoma" w:hAnsi="Symbol"/>
                <w:i/>
                <w:color w:val="000000"/>
                <w:lang w:val="pl-PL" w:eastAsia="pl-PL" w:bidi="pl-PL"/>
              </w:rPr>
            </w:pPr>
          </w:p>
        </w:tc>
      </w:tr>
      <w:tr w:rsidR="0099206D" w14:paraId="45BD50E8" w14:textId="77777777" w:rsidTr="00FD00E8">
        <w:tc>
          <w:tcPr>
            <w:tcW w:w="7270" w:type="dxa"/>
          </w:tcPr>
          <w:p w14:paraId="1841CCC3" w14:textId="72038E25"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Uzgodnienie danych prezentowanych w Wyliczeniu EBITDA do odpowiednio sprawozdania finansowego lub zestawienia (zestawień) obrotów i sald za okres kwalifikowany oraz innych dowodów uzyskanych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ramach realizowanej usługi;</w:t>
            </w:r>
          </w:p>
        </w:tc>
        <w:tc>
          <w:tcPr>
            <w:tcW w:w="601" w:type="dxa"/>
          </w:tcPr>
          <w:p w14:paraId="2F592158"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10" w:type="dxa"/>
          </w:tcPr>
          <w:p w14:paraId="0960F1E8"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804" w:type="dxa"/>
          </w:tcPr>
          <w:p w14:paraId="672D08F3" w14:textId="77777777" w:rsidR="0099206D" w:rsidRDefault="0099206D">
            <w:pPr>
              <w:pStyle w:val="IFACListStyle1"/>
              <w:numPr>
                <w:ilvl w:val="0"/>
                <w:numId w:val="4"/>
              </w:numPr>
              <w:tabs>
                <w:tab w:val="clear" w:pos="547"/>
                <w:tab w:val="left" w:pos="284"/>
              </w:tabs>
              <w:spacing w:after="240" w:line="240" w:lineRule="auto"/>
              <w:ind w:hanging="457"/>
              <w:rPr>
                <w:rFonts w:ascii="Symbol" w:eastAsia="Tahoma" w:hAnsi="Symbol"/>
                <w:i/>
                <w:color w:val="000000"/>
                <w:lang w:val="pl-PL" w:eastAsia="pl-PL" w:bidi="pl-PL"/>
              </w:rPr>
            </w:pPr>
          </w:p>
        </w:tc>
      </w:tr>
      <w:tr w:rsidR="0099206D" w14:paraId="13874304" w14:textId="77777777" w:rsidTr="00FD00E8">
        <w:tc>
          <w:tcPr>
            <w:tcW w:w="7270" w:type="dxa"/>
          </w:tcPr>
          <w:p w14:paraId="0AD5AD13" w14:textId="4475B31B"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Upewnienie się, że w przypadku, gdy badanie sprawozdania finansowego za okres kwalifikowany lub jego część nie zostało jeszcze zakończone, Beneficjent umieścił w Sprawozdaniu Beneficjenta informację/adnotację o</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tym, że wyliczenia w nim zaprezentowane zostały przygotowane na podstawie niezbadanego sprawozdania finansowego;</w:t>
            </w:r>
          </w:p>
          <w:p w14:paraId="425D6EBF" w14:textId="77777777" w:rsidR="0099206D" w:rsidRDefault="00FD00E8">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przypadku, gdy okres kwalifikowany nie pokrywa się z rokiem obrotowym Beneficjenta i część danych pochodzi z roku, za który nie sporządzono jeszcze sprawozdania finansowego, należy upewnić się, że Beneficjent umieścił w Sprawozdaniu Beneficjenta odpowiednie ujawnienia dotyczące źródła danych finansowych przyjętych dla celów ustalenia EBITDA.</w:t>
            </w:r>
          </w:p>
        </w:tc>
        <w:tc>
          <w:tcPr>
            <w:tcW w:w="601" w:type="dxa"/>
          </w:tcPr>
          <w:p w14:paraId="156E5BBF"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10" w:type="dxa"/>
          </w:tcPr>
          <w:p w14:paraId="45C2775E"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804" w:type="dxa"/>
          </w:tcPr>
          <w:p w14:paraId="506A27D7" w14:textId="77777777" w:rsidR="0099206D" w:rsidRDefault="0099206D">
            <w:pPr>
              <w:pStyle w:val="IFACListStyle1"/>
              <w:numPr>
                <w:ilvl w:val="0"/>
                <w:numId w:val="4"/>
              </w:numPr>
              <w:tabs>
                <w:tab w:val="clear" w:pos="547"/>
                <w:tab w:val="left" w:pos="284"/>
              </w:tabs>
              <w:spacing w:after="240" w:line="240" w:lineRule="auto"/>
              <w:ind w:hanging="457"/>
              <w:rPr>
                <w:rFonts w:ascii="Symbol" w:eastAsia="Tahoma" w:hAnsi="Symbol"/>
                <w:i/>
                <w:color w:val="000000"/>
                <w:lang w:val="pl-PL" w:eastAsia="pl-PL" w:bidi="pl-PL"/>
              </w:rPr>
            </w:pPr>
          </w:p>
        </w:tc>
      </w:tr>
    </w:tbl>
    <w:p w14:paraId="4722B71C"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bl>
      <w:tblPr>
        <w:tblStyle w:val="Tabela-Siatka"/>
        <w:tblW w:w="9351" w:type="dxa"/>
        <w:tblLook w:val="04A0" w:firstRow="1" w:lastRow="0" w:firstColumn="1" w:lastColumn="0" w:noHBand="0" w:noVBand="1"/>
      </w:tblPr>
      <w:tblGrid>
        <w:gridCol w:w="7225"/>
        <w:gridCol w:w="708"/>
        <w:gridCol w:w="709"/>
        <w:gridCol w:w="709"/>
      </w:tblGrid>
      <w:tr w:rsidR="0099206D" w14:paraId="68D76863" w14:textId="77777777" w:rsidTr="00675B21">
        <w:trPr>
          <w:tblHeader/>
        </w:trPr>
        <w:tc>
          <w:tcPr>
            <w:tcW w:w="7225" w:type="dxa"/>
          </w:tcPr>
          <w:p w14:paraId="19D79207" w14:textId="77777777" w:rsidR="0099206D" w:rsidRDefault="00FD00E8">
            <w:pPr>
              <w:pStyle w:val="IFACListStyle1"/>
              <w:spacing w:line="240" w:lineRule="auto"/>
              <w:rPr>
                <w:rFonts w:ascii="Times New Roman" w:eastAsia="Tahoma" w:hAnsi="Times New Roman"/>
                <w:b/>
                <w:bCs/>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Pozostałe rozważania</w:t>
            </w:r>
          </w:p>
        </w:tc>
        <w:tc>
          <w:tcPr>
            <w:tcW w:w="708" w:type="dxa"/>
          </w:tcPr>
          <w:p w14:paraId="7E09DCBF" w14:textId="77777777" w:rsidR="0099206D" w:rsidRDefault="00FD00E8">
            <w:pPr>
              <w:pStyle w:val="IFACListStyle1"/>
              <w:spacing w:line="240" w:lineRule="auto"/>
              <w:ind w:left="697" w:hanging="697"/>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09" w:type="dxa"/>
          </w:tcPr>
          <w:p w14:paraId="5B669328"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09" w:type="dxa"/>
          </w:tcPr>
          <w:p w14:paraId="09284478"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14:paraId="161C7307" w14:textId="77777777">
        <w:tc>
          <w:tcPr>
            <w:tcW w:w="7225" w:type="dxa"/>
          </w:tcPr>
          <w:p w14:paraId="2ACC9208"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Rozważenie wpływu zdarzeń występujących do dnia wydania Raportu 1/2/3 na Informację Beneficjenta i/lub Sprawozdanie Beneficjenta, w tym: </w:t>
            </w:r>
          </w:p>
        </w:tc>
        <w:tc>
          <w:tcPr>
            <w:tcW w:w="708" w:type="dxa"/>
          </w:tcPr>
          <w:p w14:paraId="050AFE3F"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09" w:type="dxa"/>
          </w:tcPr>
          <w:p w14:paraId="11C8795A"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09" w:type="dxa"/>
          </w:tcPr>
          <w:p w14:paraId="52E42997"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r>
      <w:tr w:rsidR="0099206D" w14:paraId="5FF2B2BB" w14:textId="77777777">
        <w:tc>
          <w:tcPr>
            <w:tcW w:w="7225" w:type="dxa"/>
          </w:tcPr>
          <w:p w14:paraId="5C759FF8" w14:textId="77777777" w:rsidR="0099206D" w:rsidRDefault="00FD00E8">
            <w:pPr>
              <w:pStyle w:val="IFACListStyle1"/>
              <w:numPr>
                <w:ilvl w:val="0"/>
                <w:numId w:val="11"/>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czy ewentualne modyfikacje opinii/wniosków wydanych na temat sprawozdań finansowych za rok 2021 lub 2022 lub 2023 wpływają na dane finansowe kwalifikowalne do Programu oraz Informacje Beneficjenta i/lub Sprawozdanie Beneficjenta, </w:t>
            </w:r>
          </w:p>
        </w:tc>
        <w:tc>
          <w:tcPr>
            <w:tcW w:w="708" w:type="dxa"/>
          </w:tcPr>
          <w:p w14:paraId="2786D16D" w14:textId="77777777" w:rsidR="0099206D" w:rsidRDefault="00FD00E8">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r>
              <w:rPr>
                <w:rStyle w:val="Odwoanieprzypisudolnego"/>
                <w:rFonts w:ascii="Times New Roman" w:eastAsia="Tahoma" w:hAnsi="Times New Roman"/>
                <w:color w:val="000000"/>
                <w:sz w:val="22"/>
                <w:szCs w:val="22"/>
                <w:lang w:val="pl-PL" w:eastAsia="pl-PL" w:bidi="pl-PL"/>
              </w:rPr>
              <w:footnoteReference w:id="15"/>
            </w:r>
          </w:p>
        </w:tc>
        <w:tc>
          <w:tcPr>
            <w:tcW w:w="709" w:type="dxa"/>
          </w:tcPr>
          <w:p w14:paraId="7A1CFE63" w14:textId="77777777" w:rsidR="0099206D" w:rsidRDefault="00FD00E8">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r>
              <w:rPr>
                <w:rStyle w:val="Odwoanieprzypisudolnego"/>
                <w:rFonts w:ascii="Times New Roman" w:eastAsia="Tahoma" w:hAnsi="Times New Roman"/>
                <w:color w:val="000000"/>
                <w:sz w:val="22"/>
                <w:szCs w:val="22"/>
                <w:lang w:val="pl-PL" w:eastAsia="pl-PL" w:bidi="pl-PL"/>
              </w:rPr>
              <w:footnoteReference w:id="16"/>
            </w:r>
          </w:p>
        </w:tc>
        <w:tc>
          <w:tcPr>
            <w:tcW w:w="709" w:type="dxa"/>
          </w:tcPr>
          <w:p w14:paraId="45581A38"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r>
              <w:rPr>
                <w:rStyle w:val="Odwoanieprzypisudolnego"/>
                <w:rFonts w:ascii="Symbol" w:eastAsia="Tahoma" w:hAnsi="Symbol"/>
                <w:i/>
                <w:color w:val="000000"/>
                <w:lang w:val="pl-PL" w:eastAsia="pl-PL" w:bidi="pl-PL"/>
              </w:rPr>
              <w:footnoteReference w:id="17"/>
            </w:r>
          </w:p>
        </w:tc>
      </w:tr>
      <w:tr w:rsidR="0099206D" w14:paraId="2538E13A" w14:textId="77777777">
        <w:tc>
          <w:tcPr>
            <w:tcW w:w="7225" w:type="dxa"/>
          </w:tcPr>
          <w:p w14:paraId="7CBF8858" w14:textId="77777777" w:rsidR="0099206D" w:rsidRDefault="00FD00E8">
            <w:pPr>
              <w:pStyle w:val="IFACListStyle1"/>
              <w:numPr>
                <w:ilvl w:val="0"/>
                <w:numId w:val="11"/>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ocena niezaksięgowanych korekt z badania sprawozdań finansowych lub z przeglądu śródrocznego za okresy objęte wyliczeniem pod kątem ich wpływu na te wyliczenia i kwalifikacji do rodzajów pomocy. </w:t>
            </w:r>
          </w:p>
        </w:tc>
        <w:tc>
          <w:tcPr>
            <w:tcW w:w="708" w:type="dxa"/>
          </w:tcPr>
          <w:p w14:paraId="5ADEA50F"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2A6F0B7D"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0118887D"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3745171" w14:textId="77777777">
        <w:tc>
          <w:tcPr>
            <w:tcW w:w="7225" w:type="dxa"/>
          </w:tcPr>
          <w:p w14:paraId="1225424B"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przypadku, gdy data sporządzenia Informacji Beneficjenta i/lub Sprawozdania Beneficjenta jest wcześniejsza od dnia wydania sprawozdania z badania sprawozdania finansowego Beneficjenta za ostatni rok obrotowy, rozważenie wykonania dodatkowych procedur, których zakres będzie zależeć od dokonanej oceny procesu przygotowania Informacji Beneficjenta i/lub Sprawozdania Beneficjenta, związanych z nim kontroli wewnętrznych (patrz poprzednie punkty), przyjętego poziomu istotności oraz prawdopodobieństwa zwrotu otrzymanej pomocy (w ramach refundacji lub zaliczki w zależności od rodzaju pomocy). Procedury te mogą przykładowo obejmować:</w:t>
            </w:r>
          </w:p>
        </w:tc>
        <w:tc>
          <w:tcPr>
            <w:tcW w:w="708" w:type="dxa"/>
          </w:tcPr>
          <w:p w14:paraId="3A6CFC85"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09" w:type="dxa"/>
          </w:tcPr>
          <w:p w14:paraId="02203E2B"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09" w:type="dxa"/>
          </w:tcPr>
          <w:p w14:paraId="29FDAA20"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r>
      <w:tr w:rsidR="0099206D" w14:paraId="636E91F5" w14:textId="77777777">
        <w:tc>
          <w:tcPr>
            <w:tcW w:w="7225" w:type="dxa"/>
          </w:tcPr>
          <w:p w14:paraId="20650EEE" w14:textId="77777777" w:rsidR="0099206D" w:rsidRDefault="00FD00E8">
            <w:pPr>
              <w:pStyle w:val="IFACListStyle1"/>
              <w:numPr>
                <w:ilvl w:val="1"/>
                <w:numId w:val="10"/>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rozmowę z osobami odpowiedzialnymi za Wyliczenia oraz ewidencję transakcji związanych ze sprzedażą oraz zużyciem energii elektrycznej </w:t>
            </w:r>
            <w:r>
              <w:rPr>
                <w:rFonts w:ascii="Times New Roman" w:eastAsia="Tahoma" w:hAnsi="Times New Roman"/>
                <w:color w:val="000000"/>
                <w:sz w:val="22"/>
                <w:szCs w:val="22"/>
                <w:lang w:val="pl-PL" w:eastAsia="pl-PL" w:bidi="pl-PL"/>
              </w:rPr>
              <w:lastRenderedPageBreak/>
              <w:t>lub gazu ziemnego, ujęcia odpowiednio przychodów i kosztów, które zostały przyjęte do Wyliczeń w celu upewnienia się czy pozycje te nie zmieniły się, a jeśli tak to czy w stopniu wpływającym na zmianę statusu Beneficjenta;</w:t>
            </w:r>
          </w:p>
        </w:tc>
        <w:tc>
          <w:tcPr>
            <w:tcW w:w="708" w:type="dxa"/>
          </w:tcPr>
          <w:p w14:paraId="5FFA80BF"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282A19BF"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722A7F9D"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477E8529" w14:textId="77777777">
        <w:tc>
          <w:tcPr>
            <w:tcW w:w="7225" w:type="dxa"/>
          </w:tcPr>
          <w:p w14:paraId="23E261CF" w14:textId="21FEBD8D" w:rsidR="0099206D" w:rsidRDefault="00FD00E8">
            <w:pPr>
              <w:pStyle w:val="IFACListStyle1"/>
              <w:numPr>
                <w:ilvl w:val="1"/>
                <w:numId w:val="10"/>
              </w:numPr>
              <w:tabs>
                <w:tab w:val="clear" w:pos="547"/>
                <w:tab w:val="left" w:pos="567"/>
              </w:tabs>
              <w:spacing w:line="240" w:lineRule="auto"/>
              <w:ind w:left="567" w:hanging="283"/>
              <w:rPr>
                <w:rFonts w:ascii="Times New Roman" w:eastAsia="Tahoma" w:hAnsi="Times New Roman"/>
                <w:i/>
                <w:color w:val="000000"/>
                <w:sz w:val="22"/>
                <w:szCs w:val="22"/>
                <w:lang w:val="pl-PL" w:eastAsia="pl-PL" w:bidi="pl-PL"/>
              </w:rPr>
            </w:pPr>
            <w:r>
              <w:rPr>
                <w:rFonts w:ascii="Times New Roman" w:eastAsia="Tahoma" w:hAnsi="Times New Roman"/>
                <w:color w:val="000000"/>
                <w:sz w:val="22"/>
                <w:szCs w:val="22"/>
                <w:lang w:val="pl-PL" w:eastAsia="pl-PL" w:bidi="pl-PL"/>
              </w:rPr>
              <w:t>otrzymanie zestawienia obrotów i sald sporządzonego na dzień wydania Raportu 1/2/3 i porównanie go z otrzymanym zestawieniem obrotów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sald sporządzonym na dzień sporządzenia odpowiednio Informacji Beneficjenta lub Sprawozdania Beneficjenta w celu identyfikacji korekt mogących mieć wpływ na Wyliczenia.</w:t>
            </w:r>
          </w:p>
        </w:tc>
        <w:tc>
          <w:tcPr>
            <w:tcW w:w="708" w:type="dxa"/>
          </w:tcPr>
          <w:p w14:paraId="3ECF1B11"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2A4E1EFD"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12079226"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bl>
    <w:p w14:paraId="5BC74910" w14:textId="77777777" w:rsidR="0099206D" w:rsidRDefault="0099206D">
      <w:pPr>
        <w:pStyle w:val="IFACListStyle1"/>
        <w:tabs>
          <w:tab w:val="clear" w:pos="547"/>
        </w:tabs>
        <w:spacing w:line="240" w:lineRule="auto"/>
        <w:rPr>
          <w:rFonts w:ascii="Times New Roman" w:eastAsia="Tahoma" w:hAnsi="Times New Roman"/>
          <w:i/>
          <w:color w:val="000000"/>
          <w:sz w:val="22"/>
          <w:szCs w:val="22"/>
          <w:u w:val="single"/>
          <w:lang w:val="pl-PL" w:eastAsia="pl-PL" w:bidi="pl-PL"/>
        </w:rPr>
      </w:pPr>
    </w:p>
    <w:tbl>
      <w:tblPr>
        <w:tblStyle w:val="Tabela-Siatka"/>
        <w:tblW w:w="9351" w:type="dxa"/>
        <w:tblLook w:val="04A0" w:firstRow="1" w:lastRow="0" w:firstColumn="1" w:lastColumn="0" w:noHBand="0" w:noVBand="1"/>
      </w:tblPr>
      <w:tblGrid>
        <w:gridCol w:w="7225"/>
        <w:gridCol w:w="708"/>
        <w:gridCol w:w="709"/>
        <w:gridCol w:w="709"/>
      </w:tblGrid>
      <w:tr w:rsidR="0099206D" w14:paraId="75A99360" w14:textId="77777777" w:rsidTr="00675B21">
        <w:trPr>
          <w:tblHeader/>
        </w:trPr>
        <w:tc>
          <w:tcPr>
            <w:tcW w:w="7225" w:type="dxa"/>
          </w:tcPr>
          <w:p w14:paraId="074ADC7C" w14:textId="77777777" w:rsidR="0099206D" w:rsidRPr="00675B21" w:rsidRDefault="00FD00E8">
            <w:pPr>
              <w:pStyle w:val="IFACListStyle1"/>
              <w:tabs>
                <w:tab w:val="clear" w:pos="547"/>
              </w:tabs>
              <w:spacing w:line="240" w:lineRule="auto"/>
              <w:rPr>
                <w:rFonts w:ascii="Times New Roman" w:eastAsia="Tahoma" w:hAnsi="Times New Roman"/>
                <w:b/>
                <w:bCs/>
                <w:color w:val="000000"/>
                <w:sz w:val="22"/>
                <w:szCs w:val="22"/>
                <w:u w:val="single"/>
                <w:lang w:val="pl-PL" w:eastAsia="pl-PL" w:bidi="pl-PL"/>
              </w:rPr>
            </w:pPr>
            <w:r w:rsidRPr="00675B21">
              <w:rPr>
                <w:rFonts w:ascii="Times New Roman" w:eastAsia="Tahoma" w:hAnsi="Times New Roman"/>
                <w:b/>
                <w:bCs/>
                <w:i/>
                <w:color w:val="000000"/>
                <w:sz w:val="22"/>
                <w:szCs w:val="22"/>
                <w:u w:val="single"/>
                <w:lang w:val="pl-PL" w:eastAsia="pl-PL" w:bidi="pl-PL"/>
              </w:rPr>
              <w:t>Oświadczenia kierownika Wnioskodawcy</w:t>
            </w:r>
          </w:p>
        </w:tc>
        <w:tc>
          <w:tcPr>
            <w:tcW w:w="708" w:type="dxa"/>
          </w:tcPr>
          <w:p w14:paraId="5DF92336" w14:textId="77777777" w:rsidR="0099206D" w:rsidRDefault="00FD00E8">
            <w:pPr>
              <w:pStyle w:val="IFACListStyle1"/>
              <w:spacing w:line="240" w:lineRule="auto"/>
              <w:ind w:left="697" w:hanging="697"/>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09" w:type="dxa"/>
          </w:tcPr>
          <w:p w14:paraId="39C8C83A"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09" w:type="dxa"/>
          </w:tcPr>
          <w:p w14:paraId="66B62B57" w14:textId="77777777" w:rsidR="0099206D" w:rsidRDefault="00FD00E8">
            <w:pPr>
              <w:pStyle w:val="IFACListStyle1"/>
              <w:spacing w:line="240" w:lineRule="auto"/>
              <w:ind w:left="-180" w:firstLine="180"/>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14:paraId="4CD88166" w14:textId="77777777">
        <w:tc>
          <w:tcPr>
            <w:tcW w:w="7225" w:type="dxa"/>
          </w:tcPr>
          <w:p w14:paraId="0587C3DD" w14:textId="77777777" w:rsidR="0099206D" w:rsidRDefault="00FD00E8">
            <w:pPr>
              <w:pStyle w:val="IFACListStyle1"/>
              <w:tabs>
                <w:tab w:val="clear" w:pos="547"/>
              </w:tabs>
              <w:spacing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Uzyskanie oświadczeń od kierownika Wnioskodawcy, tzw. listu oświadczającego, który powinien odnosić się do odpowiedzialności kierownika m.in. za:</w:t>
            </w:r>
          </w:p>
        </w:tc>
        <w:tc>
          <w:tcPr>
            <w:tcW w:w="708" w:type="dxa"/>
          </w:tcPr>
          <w:p w14:paraId="44719DAC" w14:textId="77777777" w:rsidR="0099206D" w:rsidRDefault="0099206D">
            <w:pPr>
              <w:pStyle w:val="IFACListStyle1"/>
              <w:tabs>
                <w:tab w:val="clear" w:pos="547"/>
              </w:tabs>
              <w:spacing w:line="240" w:lineRule="auto"/>
              <w:rPr>
                <w:rFonts w:ascii="Times New Roman" w:eastAsia="Tahoma" w:hAnsi="Times New Roman"/>
                <w:color w:val="000000"/>
                <w:sz w:val="22"/>
                <w:szCs w:val="22"/>
                <w:lang w:val="pl-PL" w:eastAsia="pl-PL" w:bidi="pl-PL"/>
              </w:rPr>
            </w:pPr>
          </w:p>
        </w:tc>
        <w:tc>
          <w:tcPr>
            <w:tcW w:w="709" w:type="dxa"/>
          </w:tcPr>
          <w:p w14:paraId="55BAA5A7" w14:textId="77777777" w:rsidR="0099206D" w:rsidRDefault="0099206D">
            <w:pPr>
              <w:pStyle w:val="IFACListStyle1"/>
              <w:tabs>
                <w:tab w:val="clear" w:pos="547"/>
              </w:tabs>
              <w:spacing w:line="240" w:lineRule="auto"/>
              <w:rPr>
                <w:rFonts w:ascii="Times New Roman" w:eastAsia="Tahoma" w:hAnsi="Times New Roman"/>
                <w:color w:val="000000"/>
                <w:sz w:val="22"/>
                <w:szCs w:val="22"/>
                <w:lang w:val="pl-PL" w:eastAsia="pl-PL" w:bidi="pl-PL"/>
              </w:rPr>
            </w:pPr>
          </w:p>
        </w:tc>
        <w:tc>
          <w:tcPr>
            <w:tcW w:w="709" w:type="dxa"/>
          </w:tcPr>
          <w:p w14:paraId="7471CD29" w14:textId="77777777" w:rsidR="0099206D" w:rsidRDefault="0099206D">
            <w:pPr>
              <w:pStyle w:val="IFACListStyle1"/>
              <w:tabs>
                <w:tab w:val="clear" w:pos="547"/>
              </w:tabs>
              <w:spacing w:line="240" w:lineRule="auto"/>
              <w:rPr>
                <w:rFonts w:ascii="Times New Roman" w:eastAsia="Tahoma" w:hAnsi="Times New Roman"/>
                <w:color w:val="000000"/>
                <w:sz w:val="22"/>
                <w:szCs w:val="22"/>
                <w:lang w:val="pl-PL" w:eastAsia="pl-PL" w:bidi="pl-PL"/>
              </w:rPr>
            </w:pPr>
          </w:p>
        </w:tc>
      </w:tr>
      <w:tr w:rsidR="0099206D" w14:paraId="130094FC" w14:textId="77777777">
        <w:tc>
          <w:tcPr>
            <w:tcW w:w="7225" w:type="dxa"/>
          </w:tcPr>
          <w:p w14:paraId="28E9084A"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roofErr w:type="gramStart"/>
            <w:r>
              <w:rPr>
                <w:rFonts w:ascii="Times New Roman" w:eastAsia="Tahoma" w:hAnsi="Times New Roman"/>
                <w:color w:val="000000"/>
                <w:sz w:val="22"/>
                <w:szCs w:val="22"/>
                <w:lang w:val="pl-PL" w:eastAsia="pl-PL" w:bidi="pl-PL"/>
              </w:rPr>
              <w:t>ustalenie,</w:t>
            </w:r>
            <w:proofErr w:type="gramEnd"/>
            <w:r>
              <w:rPr>
                <w:rFonts w:ascii="Times New Roman" w:eastAsia="Tahoma" w:hAnsi="Times New Roman"/>
                <w:color w:val="000000"/>
                <w:sz w:val="22"/>
                <w:szCs w:val="22"/>
                <w:lang w:val="pl-PL" w:eastAsia="pl-PL" w:bidi="pl-PL"/>
              </w:rPr>
              <w:t xml:space="preserve"> czy Beneficjent spełnia wymogi Programu i przysługuje mu pomoc, odpowiednia podstawowa lub zwiększona, określona przez Program;</w:t>
            </w:r>
          </w:p>
        </w:tc>
        <w:tc>
          <w:tcPr>
            <w:tcW w:w="708" w:type="dxa"/>
          </w:tcPr>
          <w:p w14:paraId="0EEFB762"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D5ADC6E"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41C739C8"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1793B4BE" w14:textId="77777777">
        <w:tc>
          <w:tcPr>
            <w:tcW w:w="7225" w:type="dxa"/>
          </w:tcPr>
          <w:p w14:paraId="18604D88"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sporządzenie Informacji Beneficjenta i/lub Sprawozdania Beneficjenta zgodnie z Podstawą Sporządzenia i zgodnie z wymogami Programu;</w:t>
            </w:r>
          </w:p>
        </w:tc>
        <w:tc>
          <w:tcPr>
            <w:tcW w:w="708" w:type="dxa"/>
          </w:tcPr>
          <w:p w14:paraId="418B26E9"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2607D95"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ABE74CE"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74FDDFF9" w14:textId="77777777">
        <w:tc>
          <w:tcPr>
            <w:tcW w:w="7225" w:type="dxa"/>
          </w:tcPr>
          <w:p w14:paraId="18898F74" w14:textId="43243A4D"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wewnętrzną spójność oraz wystarczalność informacji zaprezentowanych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Informacji Beneficjenta i/lub Sprawozdaniu Beneficjenta względem wymogów zawartych w Programie, w tym dotyczących Podstawy Sporządzenia;</w:t>
            </w:r>
          </w:p>
        </w:tc>
        <w:tc>
          <w:tcPr>
            <w:tcW w:w="708" w:type="dxa"/>
          </w:tcPr>
          <w:p w14:paraId="705111FB"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712BB6E7"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514AB56"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40A45810" w14:textId="77777777">
        <w:tc>
          <w:tcPr>
            <w:tcW w:w="7225" w:type="dxa"/>
          </w:tcPr>
          <w:p w14:paraId="4A865C93"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zaprojektowanie, wdrożenie i utrzymanie systemu kontroli wewnętrznej, którą kierownik uznaje za niezbędną, aby sporządzona Informacja Beneficjenta i/lub Sprawozdanie Beneficjenta było wolne od istotnych zniekształceń powstałych wskutek celowych działań lub błędów;</w:t>
            </w:r>
          </w:p>
        </w:tc>
        <w:tc>
          <w:tcPr>
            <w:tcW w:w="708" w:type="dxa"/>
          </w:tcPr>
          <w:p w14:paraId="1F9A5CD4"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7FE7FA4B"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17A01D1"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684F702A" w14:textId="77777777">
        <w:tc>
          <w:tcPr>
            <w:tcW w:w="7225" w:type="dxa"/>
          </w:tcPr>
          <w:p w14:paraId="7BD32CEF"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zgodność wyliczeń objętych Informacją Beneficjenta i/lub Sprawozdaniem Beneficjenta z danymi finansowymi pochodzącymi ze sprawozdań finansowych, a w przypadku danych finansowych niewynikających wprost ze sprawozdania finansowego – z zestawienia obrotów i sald księgi głównej odpowiednio na dzień sporządzenia Informacji Beneficjenta i/lub Sprawozdania Beneficjenta;</w:t>
            </w:r>
          </w:p>
        </w:tc>
        <w:tc>
          <w:tcPr>
            <w:tcW w:w="708" w:type="dxa"/>
          </w:tcPr>
          <w:p w14:paraId="6F6FD14B"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FBD2FD8"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7E14637"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608B889B" w14:textId="77777777">
        <w:tc>
          <w:tcPr>
            <w:tcW w:w="7225" w:type="dxa"/>
          </w:tcPr>
          <w:p w14:paraId="4A8EE056" w14:textId="4D458683"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ujawnienie wszystkich zdarzeń następujących po dniu, na który przygotowano Informację Beneficjenta i/lub Sprawozdanie Beneficjenta, a</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które mogłyby mieć istotny wpływ na wyliczenia nim objęte, wysokość pomocy publicznej oraz prawdopodobieństwo zwrotu otrzymanej pomocy (w ramach refundacji lub zaliczki w zależności od rodzaju pomocy);</w:t>
            </w:r>
          </w:p>
        </w:tc>
        <w:tc>
          <w:tcPr>
            <w:tcW w:w="708" w:type="dxa"/>
          </w:tcPr>
          <w:p w14:paraId="66411E5A"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6B365E1A"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FC4EB81"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03CC8F03" w14:textId="77777777">
        <w:tc>
          <w:tcPr>
            <w:tcW w:w="7225" w:type="dxa"/>
          </w:tcPr>
          <w:p w14:paraId="64048CDB"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prawidłowe ujęcie korekt zaproponowanych przez biegłego rewidenta do Informacji Beneficjenta i/lub Sprawozdania Beneficjenta lub potwierdzenie, że są one nieistotne w ocenie kierownika Wnioskodawcy;</w:t>
            </w:r>
          </w:p>
        </w:tc>
        <w:tc>
          <w:tcPr>
            <w:tcW w:w="708" w:type="dxa"/>
          </w:tcPr>
          <w:p w14:paraId="1D9C92A4"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AB25255"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460D358F"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529EA165" w14:textId="77777777">
        <w:tc>
          <w:tcPr>
            <w:tcW w:w="7225" w:type="dxa"/>
          </w:tcPr>
          <w:p w14:paraId="59971452"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udostępnienie biegłemu rewidentowi wszystkich informacji, zapisów księgowych, dokumentacji i innych dowodów, które w ocenie kierownika Wnioskodawcy mają znaczenie dla sporządzenia Informacji Beneficjenta i/lub Sprawozdania Beneficjenta:</w:t>
            </w:r>
          </w:p>
        </w:tc>
        <w:tc>
          <w:tcPr>
            <w:tcW w:w="708" w:type="dxa"/>
          </w:tcPr>
          <w:p w14:paraId="13F36A67"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7C45B85F"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9BF153E"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75C18502" w14:textId="77777777">
        <w:tc>
          <w:tcPr>
            <w:tcW w:w="7225" w:type="dxa"/>
          </w:tcPr>
          <w:p w14:paraId="2AA29089"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udostępnienie biegłemu rewidentowi kompletnych ksiąg rachunkowych wraz z dokumentacją źródłową oraz dodatkowych informacji, o które poprosił biegły rewident w trakcie przeprowadzania usługi;</w:t>
            </w:r>
          </w:p>
        </w:tc>
        <w:tc>
          <w:tcPr>
            <w:tcW w:w="708" w:type="dxa"/>
          </w:tcPr>
          <w:p w14:paraId="398FA060"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56085D16"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9E80982"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2256F23D" w14:textId="77777777">
        <w:tc>
          <w:tcPr>
            <w:tcW w:w="7225" w:type="dxa"/>
          </w:tcPr>
          <w:p w14:paraId="1C189431"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zapewnienie dostępu do odpowiednich osób u Wnioskodawcy;</w:t>
            </w:r>
          </w:p>
        </w:tc>
        <w:tc>
          <w:tcPr>
            <w:tcW w:w="708" w:type="dxa"/>
          </w:tcPr>
          <w:p w14:paraId="75F9D604"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C945CD4"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2B9F0C8"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2061D1E2" w14:textId="77777777">
        <w:tc>
          <w:tcPr>
            <w:tcW w:w="7225" w:type="dxa"/>
          </w:tcPr>
          <w:p w14:paraId="7C97CFDE" w14:textId="40E6FBB0"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potwierdzenie, iż koszty energii elektrycznej lub gazu ziemnego spełniają kryteria kwalifikowalności zgodnie z Programem oraz że są kompletne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zostały poniesione w odpowiednim okresie;</w:t>
            </w:r>
          </w:p>
        </w:tc>
        <w:tc>
          <w:tcPr>
            <w:tcW w:w="708" w:type="dxa"/>
          </w:tcPr>
          <w:p w14:paraId="670E8350"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2D08415"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467E250"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13992B57" w14:textId="77777777">
        <w:tc>
          <w:tcPr>
            <w:tcW w:w="7225" w:type="dxa"/>
          </w:tcPr>
          <w:p w14:paraId="63BD9521"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udostępnienie informacji o wszystkich przypadkach nadużyć lub podejrzeń nadużyć dotyczących kierownictwa, pracowników pełniących istotną rolę w systemie kontroli wewnętrznej lub innych przypadków, w których nadużycia mogą mieć istotny wpływ na Informację Beneficjenta i/lub Sprawozdanie Beneficjenta lub oświadczenie, że nie wystąpiły;</w:t>
            </w:r>
          </w:p>
        </w:tc>
        <w:tc>
          <w:tcPr>
            <w:tcW w:w="708" w:type="dxa"/>
          </w:tcPr>
          <w:p w14:paraId="7B0EFE82"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946B42C"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787AA1AC"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419070DE" w14:textId="77777777">
        <w:tc>
          <w:tcPr>
            <w:tcW w:w="7225" w:type="dxa"/>
          </w:tcPr>
          <w:p w14:paraId="762052CA"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przedstawienie wszystkich informacji dotyczących zarzutów lub podejrzeń dopuszczenia się nadużyć wpływających na Informację i/lub Sprawozdanie Beneficjenta przekazane przez pracowników, organy regulacyjne lub inne podmioty lub oświadczenie, że nie wystąpiły;</w:t>
            </w:r>
          </w:p>
        </w:tc>
        <w:tc>
          <w:tcPr>
            <w:tcW w:w="708" w:type="dxa"/>
          </w:tcPr>
          <w:p w14:paraId="5114F356"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BC81012"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51D569C"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7BE728D3" w14:textId="77777777">
        <w:tc>
          <w:tcPr>
            <w:tcW w:w="7225" w:type="dxa"/>
          </w:tcPr>
          <w:p w14:paraId="5D46D874"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sporządzenie innych informacji zgodnie z mającymi zastosowanie przepisami prawa;</w:t>
            </w:r>
          </w:p>
        </w:tc>
        <w:tc>
          <w:tcPr>
            <w:tcW w:w="708" w:type="dxa"/>
          </w:tcPr>
          <w:p w14:paraId="01EAB1E3"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3B6F97B"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D8D9703"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3F1CE184" w14:textId="77777777">
        <w:tc>
          <w:tcPr>
            <w:tcW w:w="7225" w:type="dxa"/>
          </w:tcPr>
          <w:p w14:paraId="6E162594" w14:textId="09B60C8F" w:rsidR="0099206D" w:rsidRDefault="00FD00E8">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przypadku, gdy badanie za ostatni rok obrotowy lub okres kwalifikowany nie zostało jeszcze zakończone, należy także ująć w liście oświadczającym potwierdzenie, że kierownik Beneficjenta nie jest świadomy zniekształceń sprawozdania finansowego, które mogłyby w istotny sposób wpływać na Informację Beneficjenta i/lub Sprawozdanie Beneficjenta, spełnianie przez Beneficjenta kryteriów Programu lub opinię biegłego rewidenta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przeprowadzonej usługi.</w:t>
            </w:r>
          </w:p>
        </w:tc>
        <w:tc>
          <w:tcPr>
            <w:tcW w:w="708" w:type="dxa"/>
          </w:tcPr>
          <w:p w14:paraId="62AC9394"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c>
          <w:tcPr>
            <w:tcW w:w="709" w:type="dxa"/>
          </w:tcPr>
          <w:p w14:paraId="11A67580"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c>
          <w:tcPr>
            <w:tcW w:w="709" w:type="dxa"/>
          </w:tcPr>
          <w:p w14:paraId="39F67615"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r>
      <w:tr w:rsidR="0099206D" w14:paraId="42DB3A1F" w14:textId="77777777">
        <w:tc>
          <w:tcPr>
            <w:tcW w:w="7225" w:type="dxa"/>
          </w:tcPr>
          <w:p w14:paraId="52044F48" w14:textId="77777777" w:rsidR="0099206D" w:rsidRDefault="00FD00E8">
            <w:pPr>
              <w:spacing w:after="240"/>
              <w:jc w:val="both"/>
              <w:rPr>
                <w:rFonts w:ascii="Times New Roman" w:eastAsia="Tahoma" w:hAnsi="Times New Roman"/>
                <w:b/>
                <w:bCs/>
                <w:color w:val="000000"/>
                <w:lang w:val="pl-PL" w:eastAsia="pl-PL" w:bidi="pl-PL"/>
              </w:rPr>
            </w:pPr>
            <w:r>
              <w:rPr>
                <w:rFonts w:ascii="Times New Roman" w:eastAsia="Tahoma" w:hAnsi="Times New Roman"/>
                <w:b/>
                <w:bCs/>
                <w:color w:val="000000"/>
                <w:lang w:val="pl-PL" w:eastAsia="pl-PL" w:bidi="pl-PL"/>
              </w:rPr>
              <w:t>Należy także rozważyć inne oświadczenia w zakresie potwierdzenia specyficznych założeń będących podstawą Wyliczeń Wnioskodawcy.</w:t>
            </w:r>
          </w:p>
        </w:tc>
        <w:tc>
          <w:tcPr>
            <w:tcW w:w="708" w:type="dxa"/>
          </w:tcPr>
          <w:p w14:paraId="0A625E31"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c>
          <w:tcPr>
            <w:tcW w:w="709" w:type="dxa"/>
          </w:tcPr>
          <w:p w14:paraId="7AC439E4"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c>
          <w:tcPr>
            <w:tcW w:w="709" w:type="dxa"/>
          </w:tcPr>
          <w:p w14:paraId="54EDD397"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r>
    </w:tbl>
    <w:p w14:paraId="6F51912C" w14:textId="77777777" w:rsidR="0099206D" w:rsidRDefault="0099206D">
      <w:pPr>
        <w:spacing w:after="240" w:line="240" w:lineRule="auto"/>
        <w:jc w:val="both"/>
        <w:rPr>
          <w:rFonts w:ascii="Times New Roman" w:eastAsia="Tahoma" w:hAnsi="Times New Roman" w:cs="Times New Roman"/>
          <w:i/>
          <w:color w:val="000000"/>
          <w:kern w:val="8"/>
          <w:lang w:val="pl-PL" w:eastAsia="pl-PL" w:bidi="pl-PL"/>
        </w:rPr>
      </w:pPr>
    </w:p>
    <w:tbl>
      <w:tblPr>
        <w:tblStyle w:val="Tabela-Siatka"/>
        <w:tblW w:w="9351" w:type="dxa"/>
        <w:tblLook w:val="04A0" w:firstRow="1" w:lastRow="0" w:firstColumn="1" w:lastColumn="0" w:noHBand="0" w:noVBand="1"/>
      </w:tblPr>
      <w:tblGrid>
        <w:gridCol w:w="7225"/>
        <w:gridCol w:w="708"/>
        <w:gridCol w:w="709"/>
        <w:gridCol w:w="709"/>
      </w:tblGrid>
      <w:tr w:rsidR="0099206D" w14:paraId="57CCF52F" w14:textId="77777777" w:rsidTr="00675B21">
        <w:trPr>
          <w:tblHeader/>
        </w:trPr>
        <w:tc>
          <w:tcPr>
            <w:tcW w:w="7225" w:type="dxa"/>
          </w:tcPr>
          <w:p w14:paraId="273B43FD" w14:textId="77777777" w:rsidR="0099206D" w:rsidRPr="00675B21" w:rsidRDefault="00FD00E8">
            <w:pPr>
              <w:pStyle w:val="IFACListStyle1"/>
              <w:tabs>
                <w:tab w:val="clear" w:pos="547"/>
              </w:tabs>
              <w:spacing w:line="240" w:lineRule="auto"/>
              <w:rPr>
                <w:rFonts w:ascii="Times New Roman" w:eastAsia="Tahoma" w:hAnsi="Times New Roman"/>
                <w:b/>
                <w:bCs/>
                <w:color w:val="000000"/>
                <w:sz w:val="22"/>
                <w:szCs w:val="22"/>
                <w:u w:val="single"/>
                <w:lang w:val="pl-PL" w:eastAsia="pl-PL" w:bidi="pl-PL"/>
              </w:rPr>
            </w:pPr>
            <w:r w:rsidRPr="00675B21">
              <w:rPr>
                <w:rFonts w:ascii="Times New Roman" w:eastAsia="Tahoma" w:hAnsi="Times New Roman"/>
                <w:b/>
                <w:bCs/>
                <w:i/>
                <w:color w:val="000000"/>
                <w:sz w:val="22"/>
                <w:szCs w:val="22"/>
                <w:u w:val="single"/>
                <w:lang w:val="pl-PL" w:eastAsia="pl-PL" w:bidi="pl-PL"/>
              </w:rPr>
              <w:t>Procedury końcowe i po wydaniu Raportu 1/2/3</w:t>
            </w:r>
          </w:p>
        </w:tc>
        <w:tc>
          <w:tcPr>
            <w:tcW w:w="708" w:type="dxa"/>
          </w:tcPr>
          <w:p w14:paraId="27AC1641" w14:textId="77777777" w:rsidR="0099206D" w:rsidRDefault="00FD00E8">
            <w:pPr>
              <w:pStyle w:val="IFACListStyle1"/>
              <w:spacing w:line="240" w:lineRule="auto"/>
              <w:ind w:left="697" w:hanging="697"/>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09" w:type="dxa"/>
          </w:tcPr>
          <w:p w14:paraId="0FDE912F"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09" w:type="dxa"/>
          </w:tcPr>
          <w:p w14:paraId="68747C2F" w14:textId="77777777" w:rsidR="0099206D" w:rsidRDefault="00FD00E8">
            <w:pPr>
              <w:pStyle w:val="IFACListStyle1"/>
              <w:spacing w:line="240" w:lineRule="auto"/>
              <w:ind w:left="-180" w:firstLine="180"/>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14:paraId="4B636F08" w14:textId="77777777">
        <w:tc>
          <w:tcPr>
            <w:tcW w:w="7225" w:type="dxa"/>
          </w:tcPr>
          <w:p w14:paraId="6CE6EB4E" w14:textId="77777777" w:rsidR="0099206D" w:rsidRDefault="00FD00E8">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Ocena wystarczalności i odpowiedniości uzyskanych dowodów do celów wydania Raportu 1/2/3;</w:t>
            </w:r>
          </w:p>
        </w:tc>
        <w:tc>
          <w:tcPr>
            <w:tcW w:w="708" w:type="dxa"/>
          </w:tcPr>
          <w:p w14:paraId="71DE0A5E"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6E409BE0"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FA8D796"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r>
      <w:tr w:rsidR="0099206D" w14:paraId="4D596712" w14:textId="77777777">
        <w:tc>
          <w:tcPr>
            <w:tcW w:w="7225" w:type="dxa"/>
          </w:tcPr>
          <w:p w14:paraId="40A76211" w14:textId="77777777" w:rsidR="0099206D" w:rsidRDefault="00FD00E8">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Sporządzenie Raportu 1/2/3 biegłego rewidenta z wykonanej usługi;</w:t>
            </w:r>
          </w:p>
        </w:tc>
        <w:tc>
          <w:tcPr>
            <w:tcW w:w="708" w:type="dxa"/>
          </w:tcPr>
          <w:p w14:paraId="706A100C"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FF68F73"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0EA089E"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r>
      <w:tr w:rsidR="0099206D" w14:paraId="6BC43FAC" w14:textId="77777777">
        <w:tc>
          <w:tcPr>
            <w:tcW w:w="7225" w:type="dxa"/>
          </w:tcPr>
          <w:p w14:paraId="79D3F6ED" w14:textId="77777777" w:rsidR="0099206D" w:rsidRDefault="00FD00E8">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Zgodnie z KSUA 3000 (Z), biegły rewident nie ma obowiązku przeprowadzania żadnych procedur dotyczących Informacji Beneficjenta i/lub Sprawozdania Beneficjenta po dacie Raportu 1/2/3 biegłego rewidenta. Jednakże, jeżeli po dacie raportu biegłego rewidenta, dowie się on o fakcie, który, gdyby był mu znany w dacie raportu biegłego rewidenta, mógłby spowodować, że zmieniłby raport, może być on zmuszony omówić tę kwestię z Beneficjentem lub podjąć inne działania odpowiednie w danych okolicznościach. Zakres działań zależeć będzie od wpływu zdarzeń na Informację Beneficjenta i/lub Sprawozdanie Beneficjenta lub wniosek biegłego rewidenta. Kwestie do rozważenia obejmują, ale nie są ograniczone do, zdarzeń wpływających na ujęte odpowiednio w Informacji Beneficjenta i/lub Sprawozdaniu Beneficjenta koszty zakupu energii oraz przychody dotyczące okresu objętego pomocą. Powyższe może mieć w szczególności </w:t>
            </w:r>
            <w:r>
              <w:rPr>
                <w:rFonts w:ascii="Times New Roman" w:eastAsia="Tahoma" w:hAnsi="Times New Roman"/>
                <w:color w:val="000000"/>
                <w:sz w:val="22"/>
                <w:szCs w:val="22"/>
                <w:lang w:val="pl-PL" w:eastAsia="pl-PL" w:bidi="pl-PL"/>
              </w:rPr>
              <w:lastRenderedPageBreak/>
              <w:t>zastosowanie, jeśli na dzień wydania Raportu 1/2/3 badanie sprawozdania finansowego za ostatni rok obrotowy (2022 r. lub 2023 r.) nie zostało jeszcze zakończone.</w:t>
            </w:r>
          </w:p>
        </w:tc>
        <w:tc>
          <w:tcPr>
            <w:tcW w:w="708" w:type="dxa"/>
          </w:tcPr>
          <w:p w14:paraId="53B4D6AF"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5B9CE9B0" w14:textId="77777777" w:rsidR="0099206D" w:rsidRDefault="0099206D">
            <w:pPr>
              <w:pStyle w:val="IFACListStyle1"/>
              <w:numPr>
                <w:ilvl w:val="0"/>
                <w:numId w:val="5"/>
              </w:numPr>
              <w:tabs>
                <w:tab w:val="clear" w:pos="547"/>
              </w:tabs>
              <w:spacing w:line="240" w:lineRule="auto"/>
              <w:rPr>
                <w:rFonts w:ascii="Times New Roman" w:eastAsia="Tahoma" w:hAnsi="Times New Roman"/>
                <w:color w:val="000000"/>
                <w:sz w:val="22"/>
                <w:szCs w:val="22"/>
                <w:lang w:val="pl-PL" w:eastAsia="pl-PL" w:bidi="pl-PL"/>
              </w:rPr>
            </w:pPr>
          </w:p>
        </w:tc>
        <w:tc>
          <w:tcPr>
            <w:tcW w:w="709" w:type="dxa"/>
          </w:tcPr>
          <w:p w14:paraId="2DBDF748"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r>
    </w:tbl>
    <w:p w14:paraId="62CBA45D" w14:textId="77777777" w:rsidR="0099206D" w:rsidRDefault="0099206D">
      <w:pPr>
        <w:pStyle w:val="IFACListStyle1"/>
        <w:tabs>
          <w:tab w:val="clear" w:pos="547"/>
        </w:tabs>
        <w:spacing w:line="240" w:lineRule="auto"/>
        <w:rPr>
          <w:rFonts w:ascii="Times New Roman" w:eastAsia="Tahoma" w:hAnsi="Times New Roman"/>
          <w:i/>
          <w:color w:val="000000"/>
          <w:sz w:val="22"/>
          <w:szCs w:val="22"/>
          <w:u w:val="single"/>
          <w:lang w:val="pl-PL" w:eastAsia="pl-PL" w:bidi="pl-PL"/>
        </w:rPr>
      </w:pPr>
    </w:p>
    <w:tbl>
      <w:tblPr>
        <w:tblStyle w:val="Tabela-Siatka"/>
        <w:tblW w:w="9395" w:type="dxa"/>
        <w:tblLook w:val="04A0" w:firstRow="1" w:lastRow="0" w:firstColumn="1" w:lastColumn="0" w:noHBand="0" w:noVBand="1"/>
      </w:tblPr>
      <w:tblGrid>
        <w:gridCol w:w="7225"/>
        <w:gridCol w:w="665"/>
        <w:gridCol w:w="752"/>
        <w:gridCol w:w="753"/>
      </w:tblGrid>
      <w:tr w:rsidR="0099206D" w14:paraId="55C8BE95" w14:textId="77777777" w:rsidTr="00675B21">
        <w:trPr>
          <w:tblHeader/>
        </w:trPr>
        <w:tc>
          <w:tcPr>
            <w:tcW w:w="7225" w:type="dxa"/>
          </w:tcPr>
          <w:p w14:paraId="396D7FCB" w14:textId="77777777" w:rsidR="0099206D" w:rsidRPr="00675B21" w:rsidRDefault="00FD00E8">
            <w:pPr>
              <w:pStyle w:val="IFACListStyle1"/>
              <w:tabs>
                <w:tab w:val="clear" w:pos="547"/>
              </w:tabs>
              <w:spacing w:line="240" w:lineRule="auto"/>
              <w:rPr>
                <w:rFonts w:ascii="Times New Roman" w:eastAsia="Tahoma" w:hAnsi="Times New Roman"/>
                <w:b/>
                <w:bCs/>
                <w:i/>
                <w:color w:val="000000"/>
                <w:sz w:val="22"/>
                <w:szCs w:val="22"/>
                <w:u w:val="single"/>
                <w:lang w:val="pl-PL" w:eastAsia="pl-PL" w:bidi="pl-PL"/>
              </w:rPr>
            </w:pPr>
            <w:r w:rsidRPr="00675B21">
              <w:rPr>
                <w:rFonts w:ascii="Times New Roman" w:eastAsia="Tahoma" w:hAnsi="Times New Roman"/>
                <w:b/>
                <w:bCs/>
                <w:i/>
                <w:color w:val="000000"/>
                <w:sz w:val="22"/>
                <w:szCs w:val="22"/>
                <w:u w:val="single"/>
                <w:lang w:val="pl-PL" w:eastAsia="pl-PL" w:bidi="pl-PL"/>
              </w:rPr>
              <w:t>Procedury dotyczące innych informacji</w:t>
            </w:r>
          </w:p>
        </w:tc>
        <w:tc>
          <w:tcPr>
            <w:tcW w:w="665" w:type="dxa"/>
          </w:tcPr>
          <w:p w14:paraId="38CC59D3" w14:textId="77777777" w:rsidR="0099206D" w:rsidRDefault="00FD00E8">
            <w:pPr>
              <w:pStyle w:val="IFACListStyle1"/>
              <w:spacing w:line="240" w:lineRule="auto"/>
              <w:ind w:left="697" w:hanging="697"/>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52" w:type="dxa"/>
          </w:tcPr>
          <w:p w14:paraId="129ECDA5"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53" w:type="dxa"/>
          </w:tcPr>
          <w:p w14:paraId="7143EC2F" w14:textId="77777777" w:rsidR="0099206D" w:rsidRDefault="00FD00E8">
            <w:pPr>
              <w:pStyle w:val="IFACListStyle1"/>
              <w:spacing w:line="240" w:lineRule="auto"/>
              <w:ind w:left="-180" w:firstLine="180"/>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14:paraId="6C211BF4" w14:textId="77777777">
        <w:tc>
          <w:tcPr>
            <w:tcW w:w="7225" w:type="dxa"/>
          </w:tcPr>
          <w:p w14:paraId="11444F8B" w14:textId="77777777" w:rsidR="0099206D" w:rsidRDefault="00FD00E8">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Inne informacje w rozumieniu tej usługi i przedmiotu oceny obejmują inne informacje i oświadczenia niepodlegające atestacji (np. część 1 Sprawozdania Beneficjenta), wniosek o pomoc wraz z załącznikami (bez Sprawozdania Beneficjenta i/lub Informacji Beneficjenta, Raportu 1/2/3 oraz zestawienia dowodów księgowych); Kierownik Beneficjenta jest odpowiedzialny za sporządzenie innych informacji zgodnie z mającymi zastosowanie przepisami prawa; patrz także p</w:t>
            </w:r>
            <w:r>
              <w:rPr>
                <w:rFonts w:ascii="Times New Roman" w:eastAsia="Tahoma" w:hAnsi="Times New Roman"/>
                <w:color w:val="000000"/>
                <w:sz w:val="22"/>
                <w:szCs w:val="22"/>
                <w:lang w:val="pl-PL"/>
              </w:rPr>
              <w:t>kt. III.4. niniejszych wskazówek;</w:t>
            </w:r>
          </w:p>
        </w:tc>
        <w:tc>
          <w:tcPr>
            <w:tcW w:w="665" w:type="dxa"/>
          </w:tcPr>
          <w:p w14:paraId="04AC532D"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2" w:type="dxa"/>
          </w:tcPr>
          <w:p w14:paraId="61FFAA5B" w14:textId="77777777" w:rsidR="0099206D" w:rsidRDefault="0099206D">
            <w:pPr>
              <w:pStyle w:val="IFACListStyle1"/>
              <w:numPr>
                <w:ilvl w:val="0"/>
                <w:numId w:val="9"/>
              </w:numPr>
              <w:tabs>
                <w:tab w:val="clear" w:pos="547"/>
              </w:tabs>
              <w:spacing w:line="240" w:lineRule="auto"/>
              <w:rPr>
                <w:rFonts w:ascii="Times New Roman" w:eastAsia="Tahoma" w:hAnsi="Times New Roman"/>
                <w:color w:val="000000"/>
                <w:sz w:val="22"/>
                <w:szCs w:val="22"/>
                <w:lang w:val="pl-PL" w:eastAsia="pl-PL" w:bidi="pl-PL"/>
              </w:rPr>
            </w:pPr>
          </w:p>
        </w:tc>
        <w:tc>
          <w:tcPr>
            <w:tcW w:w="753" w:type="dxa"/>
          </w:tcPr>
          <w:p w14:paraId="28374A10"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r>
      <w:tr w:rsidR="0099206D" w14:paraId="1B7D8434" w14:textId="77777777">
        <w:tc>
          <w:tcPr>
            <w:tcW w:w="7225" w:type="dxa"/>
          </w:tcPr>
          <w:p w14:paraId="4D3A5F2B" w14:textId="77777777" w:rsidR="0099206D" w:rsidRDefault="00FD00E8">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Biegły rewident otrzymuje od Beneficjenta i zapoznaje się z innymi informacjami, a następnie porównuje je, aby zidentyfikować istotne niespójności z Informacją Beneficjenta i/lub Sprawozdaniem Beneficjenta;</w:t>
            </w:r>
          </w:p>
        </w:tc>
        <w:tc>
          <w:tcPr>
            <w:tcW w:w="665" w:type="dxa"/>
          </w:tcPr>
          <w:p w14:paraId="5361D474"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2" w:type="dxa"/>
          </w:tcPr>
          <w:p w14:paraId="6B204C31"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3" w:type="dxa"/>
          </w:tcPr>
          <w:p w14:paraId="5117DCC6"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r>
      <w:tr w:rsidR="0099206D" w14:paraId="61E678A6" w14:textId="77777777">
        <w:tc>
          <w:tcPr>
            <w:tcW w:w="7225" w:type="dxa"/>
          </w:tcPr>
          <w:p w14:paraId="3945846D" w14:textId="77777777" w:rsidR="0099206D" w:rsidRDefault="00FD00E8">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Biegły rewident omawia w/w istotne niespójności z odpowiednią(mi) stroną(</w:t>
            </w:r>
            <w:proofErr w:type="spellStart"/>
            <w:r>
              <w:rPr>
                <w:rFonts w:ascii="Times New Roman" w:eastAsia="Tahoma" w:hAnsi="Times New Roman"/>
                <w:color w:val="000000"/>
                <w:sz w:val="22"/>
                <w:szCs w:val="22"/>
                <w:lang w:val="pl-PL" w:eastAsia="pl-PL" w:bidi="pl-PL"/>
              </w:rPr>
              <w:t>ami</w:t>
            </w:r>
            <w:proofErr w:type="spellEnd"/>
            <w:r>
              <w:rPr>
                <w:rFonts w:ascii="Times New Roman" w:eastAsia="Tahoma" w:hAnsi="Times New Roman"/>
                <w:color w:val="000000"/>
                <w:sz w:val="22"/>
                <w:szCs w:val="22"/>
                <w:lang w:val="pl-PL" w:eastAsia="pl-PL" w:bidi="pl-PL"/>
              </w:rPr>
              <w:t xml:space="preserve">) i podejmuje stosownie dalsze działania. jeżeli podczas porównania tych innych informacji, biegły rewident: </w:t>
            </w:r>
          </w:p>
          <w:p w14:paraId="3AF612A7" w14:textId="02908C23" w:rsidR="0099206D" w:rsidRDefault="00FD00E8">
            <w:pPr>
              <w:pStyle w:val="IFACListStyle1"/>
              <w:numPr>
                <w:ilvl w:val="0"/>
                <w:numId w:val="12"/>
              </w:numPr>
              <w:tabs>
                <w:tab w:val="clear" w:pos="54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zidentyfikuje istotną niespójność pomiędzy tymi innymi informacjami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Informacją Beneficjenta i/lub Sprawozdaniem Beneficjenta lub </w:t>
            </w:r>
          </w:p>
          <w:p w14:paraId="0D366E55" w14:textId="77777777" w:rsidR="0099206D" w:rsidRDefault="00FD00E8">
            <w:pPr>
              <w:pStyle w:val="IFACListStyle1"/>
              <w:numPr>
                <w:ilvl w:val="0"/>
                <w:numId w:val="12"/>
              </w:numPr>
              <w:tabs>
                <w:tab w:val="clear" w:pos="547"/>
              </w:tabs>
              <w:spacing w:line="240" w:lineRule="auto"/>
              <w:ind w:left="60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dowie się o istotnym zniekształceniu faktu w tych innych informacjach, które nie jest związane ze sprawami pojawiającymi się w Informacji Beneficjenta i/lub Sprawozdaniu Beneficjenta.</w:t>
            </w:r>
          </w:p>
        </w:tc>
        <w:tc>
          <w:tcPr>
            <w:tcW w:w="665" w:type="dxa"/>
          </w:tcPr>
          <w:p w14:paraId="7C33684D"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2" w:type="dxa"/>
          </w:tcPr>
          <w:p w14:paraId="5B353F5E"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3" w:type="dxa"/>
          </w:tcPr>
          <w:p w14:paraId="24CCDA7B"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r>
    </w:tbl>
    <w:p w14:paraId="61AF5B95" w14:textId="77777777" w:rsidR="0099206D" w:rsidRDefault="0099206D">
      <w:pPr>
        <w:pStyle w:val="IFACListStyle1"/>
        <w:tabs>
          <w:tab w:val="clear" w:pos="547"/>
        </w:tabs>
        <w:spacing w:line="240" w:lineRule="auto"/>
        <w:rPr>
          <w:rStyle w:val="Teksttreci2"/>
          <w:rFonts w:eastAsia="Tahoma"/>
          <w:sz w:val="22"/>
          <w:szCs w:val="22"/>
        </w:rPr>
      </w:pPr>
    </w:p>
    <w:p w14:paraId="1F5956D2" w14:textId="77777777" w:rsidR="0099206D" w:rsidRDefault="00FD00E8">
      <w:pPr>
        <w:pStyle w:val="IFACListStyle1"/>
        <w:numPr>
          <w:ilvl w:val="0"/>
          <w:numId w:val="18"/>
        </w:numPr>
        <w:tabs>
          <w:tab w:val="clear" w:pos="547"/>
        </w:tabs>
        <w:spacing w:line="240" w:lineRule="auto"/>
        <w:ind w:left="426" w:hanging="426"/>
        <w:rPr>
          <w:rFonts w:eastAsia="Tahoma"/>
        </w:rPr>
      </w:pPr>
      <w:r>
        <w:rPr>
          <w:rFonts w:ascii="Times New Roman" w:eastAsia="Tahoma" w:hAnsi="Times New Roman"/>
          <w:b/>
          <w:bCs/>
          <w:iCs/>
          <w:color w:val="000000"/>
          <w:sz w:val="22"/>
          <w:szCs w:val="22"/>
          <w:lang w:val="pl-PL" w:eastAsia="pl-PL" w:bidi="pl-PL"/>
        </w:rPr>
        <w:t>Pozostałe kwestie</w:t>
      </w:r>
    </w:p>
    <w:p w14:paraId="41647B26" w14:textId="1E68F290" w:rsidR="0099206D" w:rsidRDefault="00FD00E8">
      <w:pPr>
        <w:pStyle w:val="IFACListStyle1"/>
        <w:tabs>
          <w:tab w:val="clear" w:pos="547"/>
          <w:tab w:val="left" w:pos="284"/>
        </w:tabs>
        <w:spacing w:line="240" w:lineRule="auto"/>
        <w:rPr>
          <w:rFonts w:ascii="Times New Roman" w:hAnsi="Times New Roman"/>
          <w:sz w:val="22"/>
          <w:szCs w:val="22"/>
          <w:lang w:val="pl-PL" w:bidi="pl-PL"/>
        </w:rPr>
      </w:pPr>
      <w:r>
        <w:rPr>
          <w:rFonts w:ascii="Times New Roman" w:hAnsi="Times New Roman"/>
          <w:sz w:val="22"/>
          <w:szCs w:val="22"/>
          <w:lang w:val="pl-PL" w:bidi="pl-PL"/>
        </w:rPr>
        <w:t xml:space="preserve">Dla zleceń, dla, których dana firma audytorska ustaliła, że </w:t>
      </w:r>
      <w:r>
        <w:rPr>
          <w:rFonts w:ascii="Times New Roman" w:hAnsi="Times New Roman"/>
          <w:b/>
          <w:bCs/>
          <w:sz w:val="22"/>
          <w:szCs w:val="22"/>
          <w:lang w:val="pl-PL" w:bidi="pl-PL"/>
        </w:rPr>
        <w:t>kontrol</w:t>
      </w:r>
      <w:r w:rsidR="00675B21">
        <w:rPr>
          <w:rFonts w:ascii="Times New Roman" w:hAnsi="Times New Roman"/>
          <w:b/>
          <w:bCs/>
          <w:sz w:val="22"/>
          <w:szCs w:val="22"/>
          <w:lang w:val="pl-PL" w:bidi="pl-PL"/>
        </w:rPr>
        <w:t>a</w:t>
      </w:r>
      <w:r>
        <w:rPr>
          <w:rFonts w:ascii="Times New Roman" w:hAnsi="Times New Roman"/>
          <w:b/>
          <w:bCs/>
          <w:sz w:val="22"/>
          <w:szCs w:val="22"/>
          <w:lang w:val="pl-PL" w:bidi="pl-PL"/>
        </w:rPr>
        <w:t xml:space="preserve"> jakości </w:t>
      </w:r>
      <w:r w:rsidR="00675B21">
        <w:rPr>
          <w:rFonts w:ascii="Times New Roman" w:hAnsi="Times New Roman"/>
          <w:b/>
          <w:bCs/>
          <w:sz w:val="22"/>
          <w:szCs w:val="22"/>
          <w:lang w:val="pl-PL" w:bidi="pl-PL"/>
        </w:rPr>
        <w:t xml:space="preserve">wykonania </w:t>
      </w:r>
      <w:r>
        <w:rPr>
          <w:rFonts w:ascii="Times New Roman" w:hAnsi="Times New Roman"/>
          <w:b/>
          <w:bCs/>
          <w:sz w:val="22"/>
          <w:szCs w:val="22"/>
          <w:lang w:val="pl-PL" w:bidi="pl-PL"/>
        </w:rPr>
        <w:t>zlecenia</w:t>
      </w:r>
      <w:r>
        <w:rPr>
          <w:rFonts w:ascii="Times New Roman" w:hAnsi="Times New Roman"/>
          <w:sz w:val="22"/>
          <w:szCs w:val="22"/>
          <w:lang w:val="pl-PL" w:bidi="pl-PL"/>
        </w:rPr>
        <w:t xml:space="preserve"> jest wymagan</w:t>
      </w:r>
      <w:r w:rsidR="00675B21">
        <w:rPr>
          <w:rFonts w:ascii="Times New Roman" w:hAnsi="Times New Roman"/>
          <w:sz w:val="22"/>
          <w:szCs w:val="22"/>
          <w:lang w:val="pl-PL" w:bidi="pl-PL"/>
        </w:rPr>
        <w:t>a</w:t>
      </w:r>
      <w:r>
        <w:rPr>
          <w:rFonts w:ascii="Times New Roman" w:hAnsi="Times New Roman"/>
          <w:sz w:val="22"/>
          <w:szCs w:val="22"/>
          <w:lang w:val="pl-PL" w:bidi="pl-PL"/>
        </w:rPr>
        <w:t xml:space="preserve">, partner odpowiedzialny za zlecenie bierze odpowiedzialność za omówienie znaczących spraw pojawiających się w trakcie zlecenia z osobą dokonującą kontroli jakości </w:t>
      </w:r>
      <w:r w:rsidR="002847DD" w:rsidRPr="002847DD">
        <w:rPr>
          <w:rFonts w:ascii="Times New Roman" w:hAnsi="Times New Roman"/>
          <w:sz w:val="22"/>
          <w:szCs w:val="22"/>
          <w:lang w:val="pl-PL" w:bidi="pl-PL"/>
        </w:rPr>
        <w:t xml:space="preserve">wykonania </w:t>
      </w:r>
      <w:r>
        <w:rPr>
          <w:rFonts w:ascii="Times New Roman" w:hAnsi="Times New Roman"/>
          <w:sz w:val="22"/>
          <w:szCs w:val="22"/>
          <w:lang w:val="pl-PL" w:bidi="pl-PL"/>
        </w:rPr>
        <w:t>zlecenia i nie datuje raportu atestacyjnego przed zakończeniem te</w:t>
      </w:r>
      <w:r w:rsidR="00675B21">
        <w:rPr>
          <w:rFonts w:ascii="Times New Roman" w:hAnsi="Times New Roman"/>
          <w:sz w:val="22"/>
          <w:szCs w:val="22"/>
          <w:lang w:val="pl-PL" w:bidi="pl-PL"/>
        </w:rPr>
        <w:t>j kontroli</w:t>
      </w:r>
      <w:r>
        <w:rPr>
          <w:rFonts w:ascii="Times New Roman" w:hAnsi="Times New Roman"/>
          <w:sz w:val="22"/>
          <w:szCs w:val="22"/>
          <w:lang w:val="pl-PL" w:bidi="pl-PL"/>
        </w:rPr>
        <w:t xml:space="preserve">. Osoba dokonująca kontroli jakości </w:t>
      </w:r>
      <w:r w:rsidR="002847DD" w:rsidRPr="002847DD">
        <w:rPr>
          <w:rFonts w:ascii="Times New Roman" w:hAnsi="Times New Roman"/>
          <w:sz w:val="22"/>
          <w:szCs w:val="22"/>
          <w:lang w:val="pl-PL" w:bidi="pl-PL"/>
        </w:rPr>
        <w:t xml:space="preserve">wykonania </w:t>
      </w:r>
      <w:r>
        <w:rPr>
          <w:rFonts w:ascii="Times New Roman" w:hAnsi="Times New Roman"/>
          <w:sz w:val="22"/>
          <w:szCs w:val="22"/>
          <w:lang w:val="pl-PL" w:bidi="pl-PL"/>
        </w:rPr>
        <w:t xml:space="preserve">zlecenia przeprowadza obiektywną ocenę znaczących osądów dokonanych przez zespół wykonujący zlecenie oraz wniosków wyciągniętych podczas formułowania raportu atestacyjnego zgodnie z KSUA 3000 (Z). </w:t>
      </w:r>
    </w:p>
    <w:p w14:paraId="46D537DF" w14:textId="77777777" w:rsidR="0099206D" w:rsidRDefault="00FD00E8">
      <w:pPr>
        <w:pStyle w:val="IFACListStyle1"/>
        <w:tabs>
          <w:tab w:val="clear" w:pos="547"/>
          <w:tab w:val="left" w:pos="284"/>
        </w:tabs>
        <w:spacing w:line="240" w:lineRule="auto"/>
        <w:rPr>
          <w:rFonts w:ascii="Times New Roman" w:hAnsi="Times New Roman"/>
          <w:sz w:val="22"/>
          <w:szCs w:val="22"/>
          <w:lang w:val="pl-PL" w:bidi="pl-PL"/>
        </w:rPr>
      </w:pPr>
      <w:r>
        <w:rPr>
          <w:rFonts w:ascii="Times New Roman" w:hAnsi="Times New Roman"/>
          <w:sz w:val="22"/>
          <w:szCs w:val="22"/>
          <w:lang w:val="pl-PL" w:bidi="pl-PL"/>
        </w:rPr>
        <w:t>W ramach w/w ogłoszenia Operatora Programu zawarto w nim dwa narzędzia pomocnicze do wykorzystania przez Beneficjentów:</w:t>
      </w:r>
    </w:p>
    <w:p w14:paraId="7CCD4265" w14:textId="77777777" w:rsidR="0099206D" w:rsidRDefault="00FD00E8" w:rsidP="00C501BE">
      <w:pPr>
        <w:pStyle w:val="IFACListStyle1"/>
        <w:numPr>
          <w:ilvl w:val="0"/>
          <w:numId w:val="34"/>
        </w:numPr>
        <w:tabs>
          <w:tab w:val="clear" w:pos="547"/>
          <w:tab w:val="left" w:pos="284"/>
        </w:tabs>
        <w:spacing w:line="240" w:lineRule="auto"/>
        <w:ind w:left="284" w:hanging="284"/>
        <w:rPr>
          <w:rFonts w:ascii="Times New Roman" w:hAnsi="Times New Roman"/>
          <w:sz w:val="22"/>
          <w:szCs w:val="22"/>
          <w:lang w:val="pl-PL" w:bidi="pl-PL"/>
        </w:rPr>
      </w:pPr>
      <w:r>
        <w:rPr>
          <w:rFonts w:ascii="Times New Roman" w:hAnsi="Times New Roman"/>
          <w:sz w:val="22"/>
          <w:szCs w:val="22"/>
          <w:lang w:val="pl-PL" w:bidi="pl-PL"/>
        </w:rPr>
        <w:t>załącznik pt. „9.1 Kalkulator wyliczania wysokości kosztów kwalifikowanych (narzędzie pomocnicze)”,</w:t>
      </w:r>
    </w:p>
    <w:p w14:paraId="69791B78" w14:textId="77777777" w:rsidR="0099206D" w:rsidRDefault="00FD00E8" w:rsidP="00C501BE">
      <w:pPr>
        <w:pStyle w:val="IFACListStyle1"/>
        <w:numPr>
          <w:ilvl w:val="0"/>
          <w:numId w:val="34"/>
        </w:numPr>
        <w:tabs>
          <w:tab w:val="clear" w:pos="547"/>
          <w:tab w:val="left" w:pos="284"/>
        </w:tabs>
        <w:spacing w:line="240" w:lineRule="auto"/>
        <w:ind w:left="284" w:hanging="284"/>
        <w:rPr>
          <w:rFonts w:ascii="Times New Roman" w:hAnsi="Times New Roman"/>
          <w:sz w:val="22"/>
          <w:szCs w:val="22"/>
          <w:lang w:val="pl-PL" w:bidi="pl-PL"/>
        </w:rPr>
      </w:pPr>
      <w:r>
        <w:rPr>
          <w:rFonts w:ascii="Times New Roman" w:hAnsi="Times New Roman"/>
          <w:sz w:val="22"/>
          <w:szCs w:val="22"/>
          <w:lang w:val="pl-PL" w:bidi="pl-PL"/>
        </w:rPr>
        <w:t>załącznik pt. 9.2 Kalkulator wyliczania maksymalnej wnioskowanej kwoty pomocy – podstawowej lub zwiększonej (narzędzie pomocnicze)”</w:t>
      </w:r>
    </w:p>
    <w:p w14:paraId="661FB152" w14:textId="77777777" w:rsidR="0099206D" w:rsidRDefault="00FD00E8">
      <w:pPr>
        <w:pStyle w:val="IFACListStyle1"/>
        <w:tabs>
          <w:tab w:val="clear" w:pos="547"/>
          <w:tab w:val="left" w:pos="284"/>
        </w:tabs>
        <w:spacing w:line="240" w:lineRule="auto"/>
        <w:rPr>
          <w:rFonts w:ascii="Times New Roman" w:hAnsi="Times New Roman"/>
          <w:sz w:val="22"/>
          <w:szCs w:val="22"/>
          <w:lang w:val="pl-PL" w:bidi="pl-PL"/>
        </w:rPr>
      </w:pPr>
      <w:r>
        <w:rPr>
          <w:rFonts w:ascii="Times New Roman" w:hAnsi="Times New Roman"/>
          <w:sz w:val="22"/>
          <w:szCs w:val="22"/>
          <w:lang w:val="pl-PL" w:bidi="pl-PL"/>
        </w:rPr>
        <w:t>dalej zwane łącznie „</w:t>
      </w:r>
      <w:r>
        <w:rPr>
          <w:rFonts w:ascii="Times New Roman" w:hAnsi="Times New Roman"/>
          <w:b/>
          <w:bCs/>
          <w:sz w:val="22"/>
          <w:szCs w:val="22"/>
          <w:lang w:val="pl-PL" w:bidi="pl-PL"/>
        </w:rPr>
        <w:t>Kalkulatorami</w:t>
      </w:r>
      <w:r>
        <w:rPr>
          <w:rFonts w:ascii="Times New Roman" w:hAnsi="Times New Roman"/>
          <w:sz w:val="22"/>
          <w:szCs w:val="22"/>
          <w:lang w:val="pl-PL" w:bidi="pl-PL"/>
        </w:rPr>
        <w:t xml:space="preserve">”. Beneficjent może nie tylko skorzystać z Kalkulatorów, ale także dodać wypełnione danymi Kalkulatory w ramach załączników do Sprawozdania Beneficjenta lub Informacji Beneficjenta. Niezależnie od sytuacji biegły rewident nie powinien bazować jedynie na wynikach automatycznych wyliczeń podanych w Kalkulatorach. W takiej sytuacji biegły rewident powinien potraktować Kalkulatory wyłącznie jako narzędzia pomocnicze i wykonać stosowne procedury, w szczególności przeprowadzić i odpowiednio udokumentować własne wyliczenia w oparciu o wskazane w Programie wzory matematyczne i pozostałe informacje. </w:t>
      </w:r>
    </w:p>
    <w:p w14:paraId="68E271C0" w14:textId="3442B59B" w:rsidR="0099206D" w:rsidRDefault="00FD00E8">
      <w:pPr>
        <w:pStyle w:val="IFACListStyle1"/>
        <w:tabs>
          <w:tab w:val="clear" w:pos="547"/>
          <w:tab w:val="left" w:pos="284"/>
        </w:tabs>
        <w:spacing w:line="240" w:lineRule="auto"/>
        <w:rPr>
          <w:rFonts w:ascii="Times New Roman" w:hAnsi="Times New Roman"/>
          <w:sz w:val="22"/>
          <w:szCs w:val="22"/>
          <w:u w:val="single"/>
          <w:lang w:val="pl-PL" w:bidi="pl-PL"/>
        </w:rPr>
      </w:pPr>
      <w:r>
        <w:rPr>
          <w:rFonts w:ascii="Times New Roman" w:hAnsi="Times New Roman"/>
          <w:sz w:val="22"/>
          <w:szCs w:val="22"/>
          <w:u w:val="single"/>
          <w:lang w:val="pl-PL" w:bidi="pl-PL"/>
        </w:rPr>
        <w:lastRenderedPageBreak/>
        <w:t xml:space="preserve">W przypadku istotnych wątpliwości co do szczegółowych rozwiązań zastosowanych przez Beneficjenta do rozważenia jest także kontakt wraz z Beneficjentem z Operatorem </w:t>
      </w:r>
      <w:r w:rsidR="00675B21">
        <w:rPr>
          <w:rFonts w:ascii="Times New Roman" w:hAnsi="Times New Roman"/>
          <w:sz w:val="22"/>
          <w:szCs w:val="22"/>
          <w:u w:val="single"/>
          <w:lang w:val="pl-PL" w:bidi="pl-PL"/>
        </w:rPr>
        <w:t>Programu</w:t>
      </w:r>
      <w:r>
        <w:rPr>
          <w:rFonts w:ascii="Times New Roman" w:hAnsi="Times New Roman"/>
          <w:sz w:val="22"/>
          <w:szCs w:val="22"/>
          <w:u w:val="single"/>
          <w:lang w:val="pl-PL" w:bidi="pl-PL"/>
        </w:rPr>
        <w:t>.</w:t>
      </w:r>
    </w:p>
    <w:sectPr w:rsidR="0099206D">
      <w:headerReference w:type="default" r:id="rId11"/>
      <w:footerReference w:type="default" r:id="rId12"/>
      <w:headerReference w:type="first" r:id="rId13"/>
      <w:pgSz w:w="11907" w:h="16839" w:code="9"/>
      <w:pgMar w:top="1417" w:right="1417" w:bottom="1417" w:left="141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06F83" w14:textId="77777777" w:rsidR="0099206D" w:rsidRDefault="00FD00E8">
      <w:pPr>
        <w:spacing w:after="0" w:line="240" w:lineRule="auto"/>
      </w:pPr>
      <w:r>
        <w:separator/>
      </w:r>
    </w:p>
  </w:endnote>
  <w:endnote w:type="continuationSeparator" w:id="0">
    <w:p w14:paraId="0592C150" w14:textId="77777777" w:rsidR="0099206D" w:rsidRDefault="00FD0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4216089"/>
      <w:docPartObj>
        <w:docPartGallery w:val="Page Numbers (Bottom of Page)"/>
        <w:docPartUnique/>
      </w:docPartObj>
    </w:sdtPr>
    <w:sdtEndPr>
      <w:rPr>
        <w:rFonts w:ascii="Times New Roman" w:hAnsi="Times New Roman" w:cs="Times New Roman"/>
        <w:sz w:val="20"/>
        <w:szCs w:val="20"/>
      </w:rPr>
    </w:sdtEndPr>
    <w:sdtContent>
      <w:p w14:paraId="3BEF5459" w14:textId="77777777" w:rsidR="0099206D" w:rsidRDefault="00FD00E8">
        <w:pPr>
          <w:pStyle w:val="Stopka0"/>
          <w:jc w:val="right"/>
          <w:rPr>
            <w:rFonts w:ascii="Times New Roman" w:hAnsi="Times New Roman" w:cs="Times New Roman"/>
            <w:sz w:val="20"/>
            <w:szCs w:val="20"/>
            <w:lang w:val="pl-PL"/>
          </w:rPr>
        </w:pPr>
        <w:r>
          <w:rPr>
            <w:rFonts w:ascii="Times New Roman" w:hAnsi="Times New Roman" w:cs="Times New Roman"/>
            <w:sz w:val="20"/>
            <w:szCs w:val="20"/>
          </w:rPr>
          <w:fldChar w:fldCharType="begin"/>
        </w:r>
        <w:r>
          <w:rPr>
            <w:rFonts w:ascii="Times New Roman" w:hAnsi="Times New Roman" w:cs="Times New Roman"/>
            <w:sz w:val="20"/>
            <w:szCs w:val="20"/>
            <w:lang w:val="pl-PL"/>
          </w:rPr>
          <w:instrText>PAGE   \* MERGEFORMAT</w:instrText>
        </w:r>
        <w:r>
          <w:rPr>
            <w:rFonts w:ascii="Times New Roman" w:hAnsi="Times New Roman" w:cs="Times New Roman"/>
            <w:sz w:val="20"/>
            <w:szCs w:val="20"/>
          </w:rPr>
          <w:fldChar w:fldCharType="separate"/>
        </w:r>
        <w:r>
          <w:rPr>
            <w:rFonts w:ascii="Times New Roman" w:hAnsi="Times New Roman" w:cs="Times New Roman"/>
            <w:noProof/>
            <w:sz w:val="20"/>
            <w:szCs w:val="20"/>
            <w:lang w:val="pl-PL"/>
          </w:rPr>
          <w:t>2</w:t>
        </w:r>
        <w:r>
          <w:rPr>
            <w:rFonts w:ascii="Times New Roman" w:hAnsi="Times New Roman" w:cs="Times New Roman"/>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2C038" w14:textId="77777777" w:rsidR="0099206D" w:rsidRDefault="00FD00E8">
      <w:pPr>
        <w:spacing w:after="0" w:line="240" w:lineRule="auto"/>
      </w:pPr>
      <w:r>
        <w:separator/>
      </w:r>
    </w:p>
  </w:footnote>
  <w:footnote w:type="continuationSeparator" w:id="0">
    <w:p w14:paraId="5CC2E9C9" w14:textId="77777777" w:rsidR="0099206D" w:rsidRDefault="00FD00E8">
      <w:pPr>
        <w:spacing w:after="0" w:line="240" w:lineRule="auto"/>
      </w:pPr>
      <w:r>
        <w:continuationSeparator/>
      </w:r>
    </w:p>
  </w:footnote>
  <w:footnote w:id="1">
    <w:p w14:paraId="16F77992" w14:textId="39C7E718" w:rsidR="0099206D" w:rsidRDefault="00FD00E8">
      <w:pPr>
        <w:pStyle w:val="Tekstprzypisudolnego"/>
        <w:ind w:left="284" w:hanging="284"/>
        <w:jc w:val="both"/>
        <w:rPr>
          <w:rFonts w:ascii="Times New Roman" w:hAnsi="Times New Roman" w:cs="Times New Roman"/>
          <w:sz w:val="18"/>
          <w:szCs w:val="18"/>
          <w:lang w:val="pl-PL"/>
        </w:rPr>
      </w:pPr>
      <w:r>
        <w:rPr>
          <w:rStyle w:val="Odwoanieprzypisudolnego"/>
        </w:rPr>
        <w:footnoteRef/>
      </w:r>
      <w:r>
        <w:rPr>
          <w:lang w:val="pl-PL"/>
        </w:rPr>
        <w:t xml:space="preserve"> </w:t>
      </w:r>
      <w:r>
        <w:rPr>
          <w:lang w:val="pl-PL"/>
        </w:rPr>
        <w:tab/>
      </w:r>
      <w:r>
        <w:rPr>
          <w:rFonts w:ascii="Times New Roman" w:hAnsi="Times New Roman" w:cs="Times New Roman"/>
          <w:sz w:val="18"/>
          <w:szCs w:val="18"/>
          <w:lang w:val="pl-PL"/>
        </w:rPr>
        <w:t>Więcej informacji na temat rządowego programu znajduje się pod adresem:</w:t>
      </w:r>
      <w:r>
        <w:rPr>
          <w:rFonts w:ascii="Times New Roman" w:hAnsi="Times New Roman" w:cs="Times New Roman"/>
          <w:sz w:val="16"/>
          <w:szCs w:val="16"/>
          <w:lang w:val="pl-PL"/>
        </w:rPr>
        <w:t xml:space="preserve"> </w:t>
      </w:r>
      <w:hyperlink r:id="rId1" w:history="1">
        <w:r>
          <w:rPr>
            <w:rStyle w:val="Hipercze"/>
            <w:rFonts w:ascii="Times New Roman" w:hAnsi="Times New Roman" w:cs="Times New Roman"/>
            <w:sz w:val="18"/>
            <w:szCs w:val="18"/>
            <w:lang w:val="pl-PL"/>
          </w:rPr>
          <w:t>Pomoc dla przemysłu energochłonnego związana z cenami gazu ziemnego i energii elektrycznej w 2023 r. - Ministerstwo Rozwoju i Technologii - Portal Gov.pl (www.gov.pl)</w:t>
        </w:r>
      </w:hyperlink>
      <w:r>
        <w:rPr>
          <w:rFonts w:ascii="Times New Roman" w:hAnsi="Times New Roman" w:cs="Times New Roman"/>
          <w:sz w:val="18"/>
          <w:szCs w:val="18"/>
          <w:lang w:val="pl-PL"/>
        </w:rPr>
        <w:t>.</w:t>
      </w:r>
    </w:p>
  </w:footnote>
  <w:footnote w:id="2">
    <w:p w14:paraId="2EFF8DDD" w14:textId="16204780" w:rsidR="0099206D" w:rsidRPr="00363463" w:rsidRDefault="00FD00E8" w:rsidP="00363463">
      <w:pPr>
        <w:pStyle w:val="Tekstprzypisudolnego"/>
        <w:ind w:left="284" w:hanging="284"/>
        <w:jc w:val="both"/>
        <w:rPr>
          <w:rFonts w:ascii="Times New Roman" w:hAnsi="Times New Roman" w:cs="Times New Roman"/>
          <w:sz w:val="18"/>
          <w:szCs w:val="18"/>
          <w:lang w:val="pl-PL"/>
        </w:rPr>
      </w:pPr>
      <w:r w:rsidRPr="00363463">
        <w:rPr>
          <w:rStyle w:val="Odwoanieprzypisudolnego"/>
          <w:rFonts w:ascii="Times New Roman" w:hAnsi="Times New Roman" w:cs="Times New Roman"/>
        </w:rPr>
        <w:footnoteRef/>
      </w:r>
      <w:r w:rsidRPr="00363463">
        <w:rPr>
          <w:rFonts w:ascii="Times New Roman" w:hAnsi="Times New Roman" w:cs="Times New Roman"/>
          <w:lang w:val="pl-PL"/>
        </w:rPr>
        <w:t xml:space="preserve"> </w:t>
      </w:r>
      <w:r w:rsidR="00363463">
        <w:rPr>
          <w:rFonts w:ascii="Times New Roman" w:hAnsi="Times New Roman" w:cs="Times New Roman"/>
          <w:lang w:val="pl-PL"/>
        </w:rPr>
        <w:tab/>
      </w:r>
      <w:r w:rsidRPr="00363463">
        <w:rPr>
          <w:rFonts w:ascii="Times New Roman" w:hAnsi="Times New Roman" w:cs="Times New Roman"/>
          <w:sz w:val="18"/>
          <w:szCs w:val="18"/>
          <w:lang w:val="pl-PL"/>
        </w:rPr>
        <w:t>Na potrzeby określenia maksymalnej kwoty pomocy przyjmuje się średni kurs wymiany euro na złote ogłaszany przez Narodowy Bank Polski w dniu udzielenia pomocy</w:t>
      </w:r>
    </w:p>
  </w:footnote>
  <w:footnote w:id="3">
    <w:p w14:paraId="1CF21720" w14:textId="6F63C82C" w:rsidR="0099206D" w:rsidRPr="00363463" w:rsidRDefault="00FD00E8" w:rsidP="00363463">
      <w:pPr>
        <w:pStyle w:val="Tekstprzypisudolnego"/>
        <w:ind w:left="284" w:hanging="284"/>
        <w:jc w:val="both"/>
        <w:rPr>
          <w:rFonts w:ascii="Times New Roman" w:hAnsi="Times New Roman" w:cs="Times New Roman"/>
          <w:sz w:val="18"/>
          <w:szCs w:val="18"/>
          <w:lang w:val="pl-PL"/>
        </w:rPr>
      </w:pPr>
      <w:r w:rsidRPr="00363463">
        <w:rPr>
          <w:rStyle w:val="Odwoanieprzypisudolnego"/>
          <w:rFonts w:ascii="Times New Roman" w:hAnsi="Times New Roman" w:cs="Times New Roman"/>
          <w:sz w:val="18"/>
          <w:szCs w:val="18"/>
        </w:rPr>
        <w:footnoteRef/>
      </w:r>
      <w:r w:rsidRPr="00363463">
        <w:rPr>
          <w:rFonts w:ascii="Times New Roman" w:hAnsi="Times New Roman" w:cs="Times New Roman"/>
          <w:sz w:val="18"/>
          <w:szCs w:val="18"/>
          <w:lang w:val="pl-PL"/>
        </w:rPr>
        <w:t xml:space="preserve"> </w:t>
      </w:r>
      <w:r w:rsidR="00363463" w:rsidRPr="00363463">
        <w:rPr>
          <w:rFonts w:ascii="Times New Roman" w:hAnsi="Times New Roman" w:cs="Times New Roman"/>
          <w:sz w:val="18"/>
          <w:szCs w:val="18"/>
          <w:lang w:val="pl-PL"/>
        </w:rPr>
        <w:tab/>
      </w:r>
      <w:r w:rsidRPr="00363463">
        <w:rPr>
          <w:rFonts w:ascii="Times New Roman" w:hAnsi="Times New Roman" w:cs="Times New Roman"/>
          <w:sz w:val="18"/>
          <w:szCs w:val="18"/>
          <w:lang w:val="pl-PL"/>
        </w:rPr>
        <w:t xml:space="preserve">Zgodnie z pkt I.19 Programu </w:t>
      </w:r>
      <w:r w:rsidRPr="00363463">
        <w:rPr>
          <w:rFonts w:ascii="Times New Roman" w:hAnsi="Times New Roman" w:cs="Times New Roman"/>
          <w:b/>
          <w:bCs/>
          <w:sz w:val="18"/>
          <w:szCs w:val="18"/>
          <w:lang w:val="pl-PL"/>
        </w:rPr>
        <w:t>przedsiębiorstwa powiązane</w:t>
      </w:r>
      <w:r w:rsidRPr="00363463">
        <w:rPr>
          <w:rFonts w:ascii="Times New Roman" w:hAnsi="Times New Roman" w:cs="Times New Roman"/>
          <w:sz w:val="18"/>
          <w:szCs w:val="18"/>
          <w:lang w:val="pl-PL"/>
        </w:rPr>
        <w:t xml:space="preserve"> to przedsiębiorstwa powiązane w rozumieniu art. 3 ust. 3 załącznika I do rozporządzenia Komisji (UE) nr 651/2014 z dnia 17 czerwca 2014 r. uznającego niektóre rodzaje pomocy za zgodne z rynkiem wewnętrznym w zastosowaniu art. 107 i 108 Traktatu (Dz. Urz. UE L 187 z 26.06.2014, str. 1, z późn. zm.), zarejestrowane na terytorium Rzeczypospolitej Polskiej.</w:t>
      </w:r>
    </w:p>
  </w:footnote>
  <w:footnote w:id="4">
    <w:p w14:paraId="0E6DF72D" w14:textId="5BDBECFD" w:rsidR="0099206D" w:rsidRPr="00363463" w:rsidRDefault="00FD00E8" w:rsidP="00363463">
      <w:pPr>
        <w:pStyle w:val="Tekstprzypisudolnego"/>
        <w:ind w:left="284" w:hanging="284"/>
        <w:rPr>
          <w:rFonts w:ascii="Times New Roman" w:hAnsi="Times New Roman" w:cs="Times New Roman"/>
          <w:sz w:val="18"/>
          <w:szCs w:val="18"/>
          <w:lang w:val="pl-PL"/>
        </w:rPr>
      </w:pPr>
      <w:r>
        <w:rPr>
          <w:rStyle w:val="Odwoanieprzypisudolnego"/>
        </w:rPr>
        <w:footnoteRef/>
      </w:r>
      <w:r>
        <w:rPr>
          <w:lang w:val="pl-PL"/>
        </w:rPr>
        <w:t xml:space="preserve"> </w:t>
      </w:r>
      <w:r w:rsidR="00363463">
        <w:rPr>
          <w:lang w:val="pl-PL"/>
        </w:rPr>
        <w:tab/>
      </w:r>
      <w:r w:rsidRPr="00363463">
        <w:rPr>
          <w:rFonts w:ascii="Times New Roman" w:hAnsi="Times New Roman" w:cs="Times New Roman"/>
          <w:sz w:val="18"/>
          <w:szCs w:val="18"/>
          <w:lang w:val="pl-PL"/>
        </w:rPr>
        <w:t xml:space="preserve">Warunek zamkniętego roku nie </w:t>
      </w:r>
      <w:r w:rsidR="00BC5A12" w:rsidRPr="00363463">
        <w:rPr>
          <w:rFonts w:ascii="Times New Roman" w:hAnsi="Times New Roman" w:cs="Times New Roman"/>
          <w:sz w:val="18"/>
          <w:szCs w:val="18"/>
          <w:lang w:val="pl-PL"/>
        </w:rPr>
        <w:t>oznacza,</w:t>
      </w:r>
      <w:r w:rsidRPr="00363463">
        <w:rPr>
          <w:rFonts w:ascii="Times New Roman" w:hAnsi="Times New Roman" w:cs="Times New Roman"/>
          <w:sz w:val="18"/>
          <w:szCs w:val="18"/>
          <w:lang w:val="pl-PL"/>
        </w:rPr>
        <w:t xml:space="preserve"> kiedy ostatnio raz zamknięto księgi rachunkowe, lecz chodzi tu o ostatni rok obrotowy.</w:t>
      </w:r>
    </w:p>
  </w:footnote>
  <w:footnote w:id="5">
    <w:p w14:paraId="2BB036F1" w14:textId="4D88DF77" w:rsidR="0099206D" w:rsidRDefault="00FD00E8" w:rsidP="00363463">
      <w:pPr>
        <w:pStyle w:val="Tekstprzypisudolnego"/>
        <w:ind w:left="284" w:hanging="284"/>
        <w:rPr>
          <w:rFonts w:ascii="Times New Roman" w:hAnsi="Times New Roman" w:cs="Times New Roman"/>
          <w:lang w:val="pl-PL"/>
        </w:rPr>
      </w:pPr>
      <w:r w:rsidRPr="00363463">
        <w:rPr>
          <w:rStyle w:val="Odwoanieprzypisudolnego"/>
          <w:rFonts w:ascii="Times New Roman" w:hAnsi="Times New Roman" w:cs="Times New Roman"/>
          <w:sz w:val="18"/>
          <w:szCs w:val="18"/>
        </w:rPr>
        <w:footnoteRef/>
      </w:r>
      <w:r w:rsidRPr="00363463">
        <w:rPr>
          <w:rFonts w:ascii="Times New Roman" w:hAnsi="Times New Roman" w:cs="Times New Roman"/>
          <w:sz w:val="18"/>
          <w:szCs w:val="18"/>
          <w:lang w:val="pl-PL"/>
        </w:rPr>
        <w:t xml:space="preserve"> </w:t>
      </w:r>
      <w:r w:rsidR="00363463">
        <w:rPr>
          <w:rFonts w:ascii="Times New Roman" w:hAnsi="Times New Roman" w:cs="Times New Roman"/>
          <w:sz w:val="18"/>
          <w:szCs w:val="18"/>
          <w:lang w:val="pl-PL"/>
        </w:rPr>
        <w:tab/>
      </w:r>
      <w:hyperlink w:history="1">
        <w:r w:rsidR="00BC5A12" w:rsidRPr="00DE1A4F">
          <w:rPr>
            <w:rStyle w:val="Hipercze"/>
            <w:rFonts w:ascii="Times New Roman" w:hAnsi="Times New Roman" w:cs="Times New Roman"/>
            <w:sz w:val="18"/>
            <w:szCs w:val="18"/>
            <w:lang w:val="pl-PL"/>
          </w:rPr>
          <w:t>Ogłoszenia - Narodowy Fundusz Ochrony Środowiska i Gospodarki Wodnej - Portal Gov.pl (www.gov.pl)</w:t>
        </w:r>
      </w:hyperlink>
    </w:p>
  </w:footnote>
  <w:footnote w:id="6">
    <w:p w14:paraId="22387ADE" w14:textId="57645FBD" w:rsidR="0099206D" w:rsidRPr="00BC5A12" w:rsidRDefault="00FD00E8" w:rsidP="00BC5A12">
      <w:pPr>
        <w:pStyle w:val="Tekstprzypisudolnego"/>
        <w:ind w:left="284" w:hanging="284"/>
        <w:rPr>
          <w:rFonts w:ascii="Times New Roman" w:hAnsi="Times New Roman" w:cs="Times New Roman"/>
          <w:sz w:val="18"/>
          <w:szCs w:val="18"/>
          <w:lang w:val="pl-PL"/>
        </w:rPr>
      </w:pPr>
      <w:r>
        <w:rPr>
          <w:rStyle w:val="Odwoanieprzypisudolnego"/>
          <w:rFonts w:ascii="Times New Roman" w:hAnsi="Times New Roman" w:cs="Times New Roman"/>
        </w:rPr>
        <w:footnoteRef/>
      </w:r>
      <w:r>
        <w:rPr>
          <w:rFonts w:ascii="Times New Roman" w:hAnsi="Times New Roman" w:cs="Times New Roman"/>
          <w:lang w:val="pl-PL"/>
        </w:rPr>
        <w:t xml:space="preserve"> </w:t>
      </w:r>
      <w:r w:rsidR="00BC5A12">
        <w:rPr>
          <w:rFonts w:ascii="Times New Roman" w:hAnsi="Times New Roman" w:cs="Times New Roman"/>
          <w:lang w:val="pl-PL"/>
        </w:rPr>
        <w:tab/>
      </w:r>
      <w:r w:rsidRPr="00BC5A12">
        <w:rPr>
          <w:rFonts w:ascii="Times New Roman" w:hAnsi="Times New Roman" w:cs="Times New Roman"/>
          <w:sz w:val="18"/>
          <w:szCs w:val="18"/>
          <w:lang w:val="pl-PL"/>
        </w:rPr>
        <w:t>Patrz przypis 5.</w:t>
      </w:r>
    </w:p>
  </w:footnote>
  <w:footnote w:id="7">
    <w:p w14:paraId="6BCE5CC7" w14:textId="3C354E58" w:rsidR="0099206D" w:rsidRPr="00BC5A12" w:rsidRDefault="00FD00E8" w:rsidP="00BC5A12">
      <w:pPr>
        <w:pStyle w:val="Tekstprzypisudolnego"/>
        <w:ind w:left="284" w:hanging="284"/>
        <w:rPr>
          <w:rFonts w:ascii="Times New Roman" w:hAnsi="Times New Roman" w:cs="Times New Roman"/>
          <w:sz w:val="18"/>
          <w:szCs w:val="18"/>
          <w:lang w:val="pl-PL"/>
        </w:rPr>
      </w:pPr>
      <w:r w:rsidRPr="00BC5A12">
        <w:rPr>
          <w:rStyle w:val="Odwoanieprzypisudolnego"/>
          <w:rFonts w:ascii="Times New Roman" w:hAnsi="Times New Roman" w:cs="Times New Roman"/>
          <w:sz w:val="18"/>
          <w:szCs w:val="18"/>
        </w:rPr>
        <w:footnoteRef/>
      </w:r>
      <w:r w:rsidRPr="00BC5A12">
        <w:rPr>
          <w:rFonts w:ascii="Times New Roman" w:hAnsi="Times New Roman" w:cs="Times New Roman"/>
          <w:sz w:val="18"/>
          <w:szCs w:val="18"/>
          <w:lang w:val="pl-PL"/>
        </w:rPr>
        <w:t xml:space="preserve"> </w:t>
      </w:r>
      <w:r w:rsidR="00BC5A12">
        <w:rPr>
          <w:rFonts w:ascii="Times New Roman" w:hAnsi="Times New Roman" w:cs="Times New Roman"/>
          <w:sz w:val="18"/>
          <w:szCs w:val="18"/>
          <w:lang w:val="pl-PL"/>
        </w:rPr>
        <w:tab/>
      </w:r>
      <w:r w:rsidRPr="00BC5A12">
        <w:rPr>
          <w:rFonts w:ascii="Times New Roman" w:hAnsi="Times New Roman" w:cs="Times New Roman"/>
          <w:sz w:val="18"/>
          <w:szCs w:val="18"/>
          <w:lang w:val="pl-PL"/>
        </w:rPr>
        <w:t>Patrz przypis 4.</w:t>
      </w:r>
    </w:p>
  </w:footnote>
  <w:footnote w:id="8">
    <w:p w14:paraId="66CA3F18" w14:textId="1BA8931B" w:rsidR="0099206D" w:rsidRPr="00BC5A12" w:rsidRDefault="00FD00E8" w:rsidP="00BC5A12">
      <w:pPr>
        <w:pStyle w:val="Tekstprzypisudolnego"/>
        <w:ind w:left="284" w:hanging="284"/>
        <w:rPr>
          <w:sz w:val="18"/>
          <w:szCs w:val="18"/>
          <w:lang w:val="pl-PL"/>
        </w:rPr>
      </w:pPr>
      <w:r w:rsidRPr="00BC5A12">
        <w:rPr>
          <w:rStyle w:val="Odwoanieprzypisudolnego"/>
          <w:rFonts w:ascii="Times New Roman" w:hAnsi="Times New Roman" w:cs="Times New Roman"/>
          <w:sz w:val="18"/>
          <w:szCs w:val="18"/>
        </w:rPr>
        <w:footnoteRef/>
      </w:r>
      <w:r w:rsidRPr="00BC5A12">
        <w:rPr>
          <w:rFonts w:ascii="Times New Roman" w:hAnsi="Times New Roman" w:cs="Times New Roman"/>
          <w:sz w:val="18"/>
          <w:szCs w:val="18"/>
          <w:lang w:val="pl-PL"/>
        </w:rPr>
        <w:t xml:space="preserve"> </w:t>
      </w:r>
      <w:r w:rsidR="00BC5A12">
        <w:rPr>
          <w:rFonts w:ascii="Times New Roman" w:hAnsi="Times New Roman" w:cs="Times New Roman"/>
          <w:sz w:val="18"/>
          <w:szCs w:val="18"/>
          <w:lang w:val="pl-PL"/>
        </w:rPr>
        <w:tab/>
      </w:r>
      <w:r w:rsidRPr="00BC5A12">
        <w:rPr>
          <w:rFonts w:ascii="Times New Roman" w:hAnsi="Times New Roman" w:cs="Times New Roman"/>
          <w:sz w:val="18"/>
          <w:szCs w:val="18"/>
          <w:lang w:val="pl-PL"/>
        </w:rPr>
        <w:t>Patrz przypis 5.</w:t>
      </w:r>
    </w:p>
  </w:footnote>
  <w:footnote w:id="9">
    <w:p w14:paraId="77E35ED9" w14:textId="1B21F237" w:rsidR="0099206D" w:rsidRPr="002847DD" w:rsidRDefault="00FD00E8" w:rsidP="002847DD">
      <w:pPr>
        <w:pStyle w:val="Tekstprzypisudolnego"/>
        <w:ind w:left="284" w:hanging="284"/>
        <w:rPr>
          <w:rFonts w:ascii="Times New Roman" w:hAnsi="Times New Roman" w:cs="Times New Roman"/>
          <w:sz w:val="18"/>
          <w:szCs w:val="18"/>
          <w:lang w:val="pl-PL"/>
        </w:rPr>
      </w:pPr>
      <w:r>
        <w:rPr>
          <w:rStyle w:val="Odwoanieprzypisudolnego"/>
          <w:rFonts w:ascii="Times New Roman" w:hAnsi="Times New Roman" w:cs="Times New Roman"/>
        </w:rPr>
        <w:footnoteRef/>
      </w:r>
      <w:r>
        <w:rPr>
          <w:rFonts w:ascii="Times New Roman" w:hAnsi="Times New Roman" w:cs="Times New Roman"/>
          <w:lang w:val="pl-PL"/>
        </w:rPr>
        <w:t xml:space="preserve"> </w:t>
      </w:r>
      <w:r w:rsidR="002847DD">
        <w:rPr>
          <w:rFonts w:ascii="Times New Roman" w:hAnsi="Times New Roman" w:cs="Times New Roman"/>
          <w:lang w:val="pl-PL"/>
        </w:rPr>
        <w:tab/>
      </w:r>
      <w:r w:rsidRPr="002847DD">
        <w:rPr>
          <w:rFonts w:ascii="Times New Roman" w:hAnsi="Times New Roman" w:cs="Times New Roman"/>
          <w:sz w:val="18"/>
          <w:szCs w:val="18"/>
          <w:lang w:val="pl-PL"/>
        </w:rPr>
        <w:t>Patrz przypis 3.</w:t>
      </w:r>
    </w:p>
  </w:footnote>
  <w:footnote w:id="10">
    <w:p w14:paraId="68BA9095" w14:textId="6CCC5A02" w:rsidR="0099206D" w:rsidRPr="002847DD" w:rsidRDefault="00FD00E8" w:rsidP="002847DD">
      <w:pPr>
        <w:pStyle w:val="Tekstprzypisudolnego"/>
        <w:ind w:left="284" w:hanging="284"/>
        <w:rPr>
          <w:sz w:val="18"/>
          <w:szCs w:val="18"/>
          <w:lang w:val="pl-PL"/>
        </w:rPr>
      </w:pPr>
      <w:r w:rsidRPr="002847DD">
        <w:rPr>
          <w:rStyle w:val="Odwoanieprzypisudolnego"/>
          <w:rFonts w:ascii="Times New Roman" w:hAnsi="Times New Roman" w:cs="Times New Roman"/>
          <w:sz w:val="18"/>
          <w:szCs w:val="18"/>
        </w:rPr>
        <w:footnoteRef/>
      </w:r>
      <w:r w:rsidRPr="002847DD">
        <w:rPr>
          <w:rFonts w:ascii="Times New Roman" w:hAnsi="Times New Roman" w:cs="Times New Roman"/>
          <w:sz w:val="18"/>
          <w:szCs w:val="18"/>
          <w:lang w:val="pl-PL"/>
        </w:rPr>
        <w:t xml:space="preserve"> </w:t>
      </w:r>
      <w:r w:rsidR="002847DD">
        <w:rPr>
          <w:rFonts w:ascii="Times New Roman" w:hAnsi="Times New Roman" w:cs="Times New Roman"/>
          <w:sz w:val="18"/>
          <w:szCs w:val="18"/>
          <w:lang w:val="pl-PL"/>
        </w:rPr>
        <w:tab/>
      </w:r>
      <w:r w:rsidRPr="002847DD">
        <w:rPr>
          <w:rFonts w:ascii="Times New Roman" w:hAnsi="Times New Roman" w:cs="Times New Roman"/>
          <w:sz w:val="18"/>
          <w:szCs w:val="18"/>
          <w:lang w:val="pl-PL"/>
        </w:rPr>
        <w:t>Patrz przypis 5.</w:t>
      </w:r>
    </w:p>
  </w:footnote>
  <w:footnote w:id="11">
    <w:p w14:paraId="584997BE" w14:textId="77777777" w:rsidR="0099206D" w:rsidRDefault="00FD00E8">
      <w:pPr>
        <w:pStyle w:val="Tekstprzypisudolnego"/>
        <w:rPr>
          <w:lang w:val="pl-PL"/>
        </w:rPr>
      </w:pPr>
      <w:r>
        <w:rPr>
          <w:rStyle w:val="Odwoanieprzypisudolnego"/>
        </w:rPr>
        <w:footnoteRef/>
      </w:r>
      <w:r>
        <w:rPr>
          <w:lang w:val="pl-PL"/>
        </w:rPr>
        <w:t xml:space="preserve"> </w:t>
      </w:r>
      <w:r>
        <w:rPr>
          <w:rFonts w:ascii="Times New Roman" w:hAnsi="Times New Roman" w:cs="Times New Roman"/>
          <w:lang w:val="pl-PL"/>
        </w:rPr>
        <w:t>Patrz przypis 4.</w:t>
      </w:r>
    </w:p>
  </w:footnote>
  <w:footnote w:id="12">
    <w:p w14:paraId="1A4F3848" w14:textId="77777777" w:rsidR="0099206D" w:rsidRDefault="00FD00E8">
      <w:pPr>
        <w:pStyle w:val="Tekstprzypisudolnego"/>
        <w:rPr>
          <w:rFonts w:ascii="Times New Roman" w:hAnsi="Times New Roman" w:cs="Times New Roman"/>
          <w:lang w:val="pl-PL"/>
        </w:rPr>
      </w:pPr>
      <w:r>
        <w:rPr>
          <w:rStyle w:val="Odwoanieprzypisudolnego"/>
          <w:rFonts w:ascii="Times New Roman" w:hAnsi="Times New Roman" w:cs="Times New Roman"/>
        </w:rPr>
        <w:footnoteRef/>
      </w:r>
      <w:r>
        <w:rPr>
          <w:rFonts w:ascii="Times New Roman" w:hAnsi="Times New Roman" w:cs="Times New Roman"/>
          <w:lang w:val="pl-PL"/>
        </w:rPr>
        <w:t xml:space="preserve"> Porównaj także z pkt. VI pt. „Kumulacja pomocy” Programu.</w:t>
      </w:r>
    </w:p>
  </w:footnote>
  <w:footnote w:id="13">
    <w:p w14:paraId="6C2ED6FA" w14:textId="77777777" w:rsidR="0099206D" w:rsidRDefault="00FD00E8">
      <w:pPr>
        <w:pStyle w:val="Tekstprzypisudolnego"/>
        <w:rPr>
          <w:lang w:val="pl-PL"/>
        </w:rPr>
      </w:pPr>
      <w:r>
        <w:rPr>
          <w:rStyle w:val="Odwoanieprzypisudolnego"/>
        </w:rPr>
        <w:footnoteRef/>
      </w:r>
      <w:r>
        <w:rPr>
          <w:lang w:val="pl-PL"/>
        </w:rPr>
        <w:t xml:space="preserve"> </w:t>
      </w:r>
      <w:r>
        <w:rPr>
          <w:rFonts w:ascii="Times New Roman" w:hAnsi="Times New Roman" w:cs="Times New Roman"/>
          <w:lang w:val="pl-PL"/>
        </w:rPr>
        <w:t>Patrz przypis 4.</w:t>
      </w:r>
    </w:p>
  </w:footnote>
  <w:footnote w:id="14">
    <w:p w14:paraId="5BFA3732" w14:textId="1056DBA3" w:rsidR="0099206D" w:rsidRPr="002847DD" w:rsidRDefault="00FD00E8" w:rsidP="002847DD">
      <w:pPr>
        <w:pStyle w:val="Tekstprzypisudolnego"/>
        <w:ind w:left="284" w:hanging="284"/>
        <w:jc w:val="both"/>
        <w:rPr>
          <w:sz w:val="18"/>
          <w:szCs w:val="18"/>
          <w:lang w:val="pl-PL"/>
        </w:rPr>
      </w:pPr>
      <w:r>
        <w:rPr>
          <w:rStyle w:val="Odwoanieprzypisudolnego"/>
        </w:rPr>
        <w:footnoteRef/>
      </w:r>
      <w:r>
        <w:rPr>
          <w:rFonts w:ascii="Times New Roman" w:hAnsi="Times New Roman" w:cs="Times New Roman"/>
          <w:lang w:val="pl-PL"/>
        </w:rPr>
        <w:t xml:space="preserve"> </w:t>
      </w:r>
      <w:r w:rsidR="002847DD">
        <w:rPr>
          <w:rFonts w:ascii="Times New Roman" w:hAnsi="Times New Roman" w:cs="Times New Roman"/>
          <w:lang w:val="pl-PL"/>
        </w:rPr>
        <w:tab/>
      </w:r>
      <w:r w:rsidRPr="002847DD">
        <w:rPr>
          <w:rFonts w:ascii="Times New Roman" w:hAnsi="Times New Roman" w:cs="Times New Roman"/>
          <w:sz w:val="18"/>
          <w:szCs w:val="18"/>
          <w:lang w:val="pl-PL"/>
        </w:rPr>
        <w:t>Jeżeli wartość wskaźnika EBITDA w okresie referencyjnym była ujemna, pomoc nie może spowodować jej wzrostu w</w:t>
      </w:r>
      <w:r w:rsidR="002847DD">
        <w:rPr>
          <w:rFonts w:ascii="Times New Roman" w:hAnsi="Times New Roman" w:cs="Times New Roman"/>
          <w:sz w:val="18"/>
          <w:szCs w:val="18"/>
          <w:lang w:val="pl-PL"/>
        </w:rPr>
        <w:t> </w:t>
      </w:r>
      <w:r w:rsidRPr="002847DD">
        <w:rPr>
          <w:rFonts w:ascii="Times New Roman" w:hAnsi="Times New Roman" w:cs="Times New Roman"/>
          <w:sz w:val="18"/>
          <w:szCs w:val="18"/>
          <w:lang w:val="pl-PL"/>
        </w:rPr>
        <w:t>okresie kwalifikowanym powyżej zera.</w:t>
      </w:r>
    </w:p>
  </w:footnote>
  <w:footnote w:id="15">
    <w:p w14:paraId="2924551A" w14:textId="4E4E001A" w:rsidR="0099206D" w:rsidRPr="002847DD" w:rsidRDefault="00FD00E8" w:rsidP="002847DD">
      <w:pPr>
        <w:pStyle w:val="Tekstprzypisudolnego"/>
        <w:ind w:left="284" w:hanging="284"/>
        <w:rPr>
          <w:rFonts w:ascii="Times New Roman" w:hAnsi="Times New Roman" w:cs="Times New Roman"/>
          <w:sz w:val="18"/>
          <w:szCs w:val="18"/>
          <w:lang w:val="pl-PL"/>
        </w:rPr>
      </w:pPr>
      <w:r>
        <w:rPr>
          <w:rStyle w:val="Odwoanieprzypisudolnego"/>
        </w:rPr>
        <w:footnoteRef/>
      </w:r>
      <w:r>
        <w:rPr>
          <w:lang w:val="pl-PL"/>
        </w:rPr>
        <w:t xml:space="preserve"> </w:t>
      </w:r>
      <w:r w:rsidR="002847DD">
        <w:rPr>
          <w:lang w:val="pl-PL"/>
        </w:rPr>
        <w:tab/>
      </w:r>
      <w:r w:rsidRPr="002847DD">
        <w:rPr>
          <w:rFonts w:ascii="Times New Roman" w:hAnsi="Times New Roman" w:cs="Times New Roman"/>
          <w:sz w:val="18"/>
          <w:szCs w:val="18"/>
          <w:lang w:val="pl-PL"/>
        </w:rPr>
        <w:t>Mowa o sprawozdaniu finansowym za 2021 i 2022 rok, w przypadku, gdy rok obrotowy równa się kalendarzowemu.</w:t>
      </w:r>
    </w:p>
  </w:footnote>
  <w:footnote w:id="16">
    <w:p w14:paraId="71E19B69" w14:textId="202BF28F" w:rsidR="0099206D" w:rsidRPr="002847DD" w:rsidRDefault="00FD00E8" w:rsidP="002847DD">
      <w:pPr>
        <w:pStyle w:val="Tekstprzypisudolnego"/>
        <w:ind w:left="284" w:hanging="284"/>
        <w:rPr>
          <w:rFonts w:ascii="Times New Roman" w:hAnsi="Times New Roman" w:cs="Times New Roman"/>
          <w:sz w:val="18"/>
          <w:szCs w:val="18"/>
          <w:lang w:val="pl-PL"/>
        </w:rPr>
      </w:pPr>
      <w:r w:rsidRPr="002847DD">
        <w:rPr>
          <w:rStyle w:val="Odwoanieprzypisudolnego"/>
          <w:rFonts w:ascii="Times New Roman" w:hAnsi="Times New Roman" w:cs="Times New Roman"/>
          <w:sz w:val="18"/>
          <w:szCs w:val="18"/>
        </w:rPr>
        <w:footnoteRef/>
      </w:r>
      <w:r w:rsidRPr="002847DD">
        <w:rPr>
          <w:rFonts w:ascii="Times New Roman" w:hAnsi="Times New Roman" w:cs="Times New Roman"/>
          <w:sz w:val="18"/>
          <w:szCs w:val="18"/>
          <w:lang w:val="pl-PL"/>
        </w:rPr>
        <w:t xml:space="preserve"> </w:t>
      </w:r>
      <w:r w:rsidR="002847DD">
        <w:rPr>
          <w:rFonts w:ascii="Times New Roman" w:hAnsi="Times New Roman" w:cs="Times New Roman"/>
          <w:sz w:val="18"/>
          <w:szCs w:val="18"/>
          <w:lang w:val="pl-PL"/>
        </w:rPr>
        <w:tab/>
      </w:r>
      <w:r w:rsidRPr="002847DD">
        <w:rPr>
          <w:rFonts w:ascii="Times New Roman" w:hAnsi="Times New Roman" w:cs="Times New Roman"/>
          <w:sz w:val="18"/>
          <w:szCs w:val="18"/>
          <w:lang w:val="pl-PL"/>
        </w:rPr>
        <w:t>Patrz przypis 14.</w:t>
      </w:r>
    </w:p>
  </w:footnote>
  <w:footnote w:id="17">
    <w:p w14:paraId="77140A98" w14:textId="18E31B2B" w:rsidR="0099206D" w:rsidRPr="002847DD" w:rsidRDefault="00FD00E8" w:rsidP="002847DD">
      <w:pPr>
        <w:pStyle w:val="Tekstprzypisudolnego"/>
        <w:ind w:left="284" w:hanging="284"/>
        <w:rPr>
          <w:rFonts w:ascii="Times New Roman" w:hAnsi="Times New Roman" w:cs="Times New Roman"/>
          <w:sz w:val="18"/>
          <w:szCs w:val="18"/>
          <w:lang w:val="pl-PL"/>
        </w:rPr>
      </w:pPr>
      <w:r w:rsidRPr="002847DD">
        <w:rPr>
          <w:rStyle w:val="Odwoanieprzypisudolnego"/>
          <w:rFonts w:ascii="Times New Roman" w:hAnsi="Times New Roman" w:cs="Times New Roman"/>
          <w:sz w:val="18"/>
          <w:szCs w:val="18"/>
        </w:rPr>
        <w:footnoteRef/>
      </w:r>
      <w:r w:rsidRPr="002847DD">
        <w:rPr>
          <w:rFonts w:ascii="Times New Roman" w:hAnsi="Times New Roman" w:cs="Times New Roman"/>
          <w:sz w:val="18"/>
          <w:szCs w:val="18"/>
          <w:lang w:val="pl-PL"/>
        </w:rPr>
        <w:t xml:space="preserve"> </w:t>
      </w:r>
      <w:r w:rsidR="002847DD">
        <w:rPr>
          <w:rFonts w:ascii="Times New Roman" w:hAnsi="Times New Roman" w:cs="Times New Roman"/>
          <w:sz w:val="18"/>
          <w:szCs w:val="18"/>
          <w:lang w:val="pl-PL"/>
        </w:rPr>
        <w:tab/>
      </w:r>
      <w:r w:rsidRPr="002847DD">
        <w:rPr>
          <w:rFonts w:ascii="Times New Roman" w:hAnsi="Times New Roman" w:cs="Times New Roman"/>
          <w:sz w:val="18"/>
          <w:szCs w:val="18"/>
          <w:lang w:val="pl-PL"/>
        </w:rPr>
        <w:t>Mowa o sprawozdaniu finansowym za 2023 rok, w przypadku, gdy rok obrotowy równa się kalendarzowemu.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FD372" w14:textId="77777777" w:rsidR="0099206D" w:rsidRDefault="00FD00E8">
    <w:pPr>
      <w:pStyle w:val="Nagwek"/>
      <w:pBdr>
        <w:bottom w:val="single" w:sz="4" w:space="1" w:color="auto"/>
      </w:pBdr>
      <w:jc w:val="center"/>
      <w:rPr>
        <w:rFonts w:ascii="Times New Roman" w:hAnsi="Times New Roman" w:cs="Times New Roman"/>
        <w:bCs/>
        <w:i/>
        <w:iCs/>
        <w:lang w:val="pl-PL" w:bidi="pl-PL"/>
      </w:rPr>
    </w:pPr>
    <w:r>
      <w:rPr>
        <w:rFonts w:ascii="Times New Roman" w:hAnsi="Times New Roman" w:cs="Times New Roman"/>
        <w:bCs/>
        <w:i/>
        <w:iCs/>
        <w:lang w:val="pl-PL" w:bidi="pl-PL"/>
      </w:rPr>
      <w:t>Wskazówki dla biegłych rewidentów dotyczące wykonania usługi atestacyjnej – rekompensaty</w:t>
    </w:r>
  </w:p>
  <w:p w14:paraId="587F9ABF" w14:textId="77777777" w:rsidR="0099206D" w:rsidRDefault="0099206D">
    <w:pPr>
      <w:pStyle w:val="Nagwek"/>
      <w:jc w:val="center"/>
      <w:rPr>
        <w:rFonts w:ascii="Times New Roman" w:hAnsi="Times New Roman" w:cs="Times New Roman"/>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E3302" w14:textId="66953AAD" w:rsidR="00675B21" w:rsidRDefault="00675B21">
    <w:pPr>
      <w:pStyle w:val="Nagwek"/>
    </w:pPr>
    <w:r>
      <w:rPr>
        <w:rFonts w:ascii="Calibri" w:eastAsia="Calibri" w:hAnsi="Calibri" w:cs="Times New Roman"/>
        <w:noProof/>
        <w:sz w:val="24"/>
        <w:szCs w:val="24"/>
        <w:lang w:val="pl-PL" w:eastAsia="pl-PL"/>
      </w:rPr>
      <w:drawing>
        <wp:anchor distT="0" distB="0" distL="114300" distR="114300" simplePos="0" relativeHeight="251659264" behindDoc="0" locked="0" layoutInCell="1" allowOverlap="1" wp14:anchorId="05F8EA73" wp14:editId="2AD82DA3">
          <wp:simplePos x="0" y="0"/>
          <wp:positionH relativeFrom="page">
            <wp:posOffset>14702</wp:posOffset>
          </wp:positionH>
          <wp:positionV relativeFrom="paragraph">
            <wp:posOffset>-457005</wp:posOffset>
          </wp:positionV>
          <wp:extent cx="7559675" cy="1932940"/>
          <wp:effectExtent l="0" t="0" r="0" b="0"/>
          <wp:wrapTight wrapText="bothSides">
            <wp:wrapPolygon edited="0">
              <wp:start x="2068" y="7664"/>
              <wp:lineTo x="2123" y="16179"/>
              <wp:lineTo x="4191" y="16179"/>
              <wp:lineTo x="4246" y="14901"/>
              <wp:lineTo x="5225" y="14901"/>
              <wp:lineTo x="5661" y="13837"/>
              <wp:lineTo x="5552" y="10431"/>
              <wp:lineTo x="5389" y="8728"/>
              <wp:lineTo x="5171" y="7664"/>
              <wp:lineTo x="2068" y="7664"/>
            </wp:wrapPolygon>
          </wp:wrapTight>
          <wp:docPr id="1"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_firmowy_skladowep-01.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9329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4977"/>
    <w:multiLevelType w:val="hybridMultilevel"/>
    <w:tmpl w:val="250A6B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D12545"/>
    <w:multiLevelType w:val="hybridMultilevel"/>
    <w:tmpl w:val="0A105BCC"/>
    <w:lvl w:ilvl="0" w:tplc="04150001">
      <w:start w:val="1"/>
      <w:numFmt w:val="bullet"/>
      <w:lvlText w:val=""/>
      <w:lvlJc w:val="left"/>
      <w:pPr>
        <w:ind w:left="643" w:hanging="360"/>
      </w:pPr>
      <w:rPr>
        <w:rFonts w:ascii="Symbol" w:hAnsi="Symbol" w:hint="default"/>
      </w:rPr>
    </w:lvl>
    <w:lvl w:ilvl="1" w:tplc="04150003" w:tentative="1">
      <w:start w:val="1"/>
      <w:numFmt w:val="bullet"/>
      <w:lvlText w:val="o"/>
      <w:lvlJc w:val="left"/>
      <w:pPr>
        <w:ind w:left="1897" w:hanging="360"/>
      </w:pPr>
      <w:rPr>
        <w:rFonts w:ascii="Courier New" w:hAnsi="Courier New" w:cs="Courier New" w:hint="default"/>
      </w:rPr>
    </w:lvl>
    <w:lvl w:ilvl="2" w:tplc="04150005" w:tentative="1">
      <w:start w:val="1"/>
      <w:numFmt w:val="bullet"/>
      <w:lvlText w:val=""/>
      <w:lvlJc w:val="left"/>
      <w:pPr>
        <w:ind w:left="2617" w:hanging="360"/>
      </w:pPr>
      <w:rPr>
        <w:rFonts w:ascii="Wingdings" w:hAnsi="Wingdings" w:hint="default"/>
      </w:rPr>
    </w:lvl>
    <w:lvl w:ilvl="3" w:tplc="04150001" w:tentative="1">
      <w:start w:val="1"/>
      <w:numFmt w:val="bullet"/>
      <w:lvlText w:val=""/>
      <w:lvlJc w:val="left"/>
      <w:pPr>
        <w:ind w:left="3337" w:hanging="360"/>
      </w:pPr>
      <w:rPr>
        <w:rFonts w:ascii="Symbol" w:hAnsi="Symbol" w:hint="default"/>
      </w:rPr>
    </w:lvl>
    <w:lvl w:ilvl="4" w:tplc="04150003" w:tentative="1">
      <w:start w:val="1"/>
      <w:numFmt w:val="bullet"/>
      <w:lvlText w:val="o"/>
      <w:lvlJc w:val="left"/>
      <w:pPr>
        <w:ind w:left="4057" w:hanging="360"/>
      </w:pPr>
      <w:rPr>
        <w:rFonts w:ascii="Courier New" w:hAnsi="Courier New" w:cs="Courier New" w:hint="default"/>
      </w:rPr>
    </w:lvl>
    <w:lvl w:ilvl="5" w:tplc="04150005" w:tentative="1">
      <w:start w:val="1"/>
      <w:numFmt w:val="bullet"/>
      <w:lvlText w:val=""/>
      <w:lvlJc w:val="left"/>
      <w:pPr>
        <w:ind w:left="4777" w:hanging="360"/>
      </w:pPr>
      <w:rPr>
        <w:rFonts w:ascii="Wingdings" w:hAnsi="Wingdings" w:hint="default"/>
      </w:rPr>
    </w:lvl>
    <w:lvl w:ilvl="6" w:tplc="04150001" w:tentative="1">
      <w:start w:val="1"/>
      <w:numFmt w:val="bullet"/>
      <w:lvlText w:val=""/>
      <w:lvlJc w:val="left"/>
      <w:pPr>
        <w:ind w:left="5497" w:hanging="360"/>
      </w:pPr>
      <w:rPr>
        <w:rFonts w:ascii="Symbol" w:hAnsi="Symbol" w:hint="default"/>
      </w:rPr>
    </w:lvl>
    <w:lvl w:ilvl="7" w:tplc="04150003" w:tentative="1">
      <w:start w:val="1"/>
      <w:numFmt w:val="bullet"/>
      <w:lvlText w:val="o"/>
      <w:lvlJc w:val="left"/>
      <w:pPr>
        <w:ind w:left="6217" w:hanging="360"/>
      </w:pPr>
      <w:rPr>
        <w:rFonts w:ascii="Courier New" w:hAnsi="Courier New" w:cs="Courier New" w:hint="default"/>
      </w:rPr>
    </w:lvl>
    <w:lvl w:ilvl="8" w:tplc="04150005" w:tentative="1">
      <w:start w:val="1"/>
      <w:numFmt w:val="bullet"/>
      <w:lvlText w:val=""/>
      <w:lvlJc w:val="left"/>
      <w:pPr>
        <w:ind w:left="6937" w:hanging="360"/>
      </w:pPr>
      <w:rPr>
        <w:rFonts w:ascii="Wingdings" w:hAnsi="Wingdings" w:hint="default"/>
      </w:rPr>
    </w:lvl>
  </w:abstractNum>
  <w:abstractNum w:abstractNumId="2" w15:restartNumberingAfterBreak="0">
    <w:nsid w:val="0412619E"/>
    <w:multiLevelType w:val="hybridMultilevel"/>
    <w:tmpl w:val="5BFEA066"/>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 w15:restartNumberingAfterBreak="0">
    <w:nsid w:val="042769A1"/>
    <w:multiLevelType w:val="hybridMultilevel"/>
    <w:tmpl w:val="042EC1C4"/>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4" w15:restartNumberingAfterBreak="0">
    <w:nsid w:val="0B961D75"/>
    <w:multiLevelType w:val="hybridMultilevel"/>
    <w:tmpl w:val="36002670"/>
    <w:lvl w:ilvl="0" w:tplc="FA98226A">
      <w:numFmt w:val="bullet"/>
      <w:lvlText w:val=""/>
      <w:lvlJc w:val="left"/>
      <w:pPr>
        <w:ind w:left="457" w:hanging="341"/>
      </w:pPr>
      <w:rPr>
        <w:rFonts w:ascii="Symbol" w:eastAsia="Symbol" w:hAnsi="Symbol" w:cs="Symbol" w:hint="default"/>
        <w:w w:val="100"/>
        <w:sz w:val="22"/>
        <w:szCs w:val="22"/>
        <w:lang w:val="pl-PL" w:eastAsia="pl-PL" w:bidi="pl-PL"/>
      </w:rPr>
    </w:lvl>
    <w:lvl w:ilvl="1" w:tplc="48705B5A">
      <w:start w:val="1"/>
      <w:numFmt w:val="bullet"/>
      <w:lvlText w:val="-"/>
      <w:lvlJc w:val="left"/>
      <w:pPr>
        <w:ind w:left="1177" w:hanging="360"/>
      </w:pPr>
      <w:rPr>
        <w:rFonts w:ascii="Courier New" w:hAnsi="Courier New" w:hint="default"/>
      </w:rPr>
    </w:lvl>
    <w:lvl w:ilvl="2" w:tplc="9D14A3E2">
      <w:numFmt w:val="bullet"/>
      <w:lvlText w:val="•"/>
      <w:lvlJc w:val="left"/>
      <w:pPr>
        <w:ind w:left="1180" w:hanging="360"/>
      </w:pPr>
      <w:rPr>
        <w:rFonts w:hint="default"/>
        <w:lang w:val="pl-PL" w:eastAsia="pl-PL" w:bidi="pl-PL"/>
      </w:rPr>
    </w:lvl>
    <w:lvl w:ilvl="3" w:tplc="8D8CD64C">
      <w:numFmt w:val="bullet"/>
      <w:lvlText w:val="•"/>
      <w:lvlJc w:val="left"/>
      <w:pPr>
        <w:ind w:left="2195" w:hanging="360"/>
      </w:pPr>
      <w:rPr>
        <w:rFonts w:hint="default"/>
        <w:lang w:val="pl-PL" w:eastAsia="pl-PL" w:bidi="pl-PL"/>
      </w:rPr>
    </w:lvl>
    <w:lvl w:ilvl="4" w:tplc="A63A8922">
      <w:numFmt w:val="bullet"/>
      <w:lvlText w:val="•"/>
      <w:lvlJc w:val="left"/>
      <w:pPr>
        <w:ind w:left="3211" w:hanging="360"/>
      </w:pPr>
      <w:rPr>
        <w:rFonts w:hint="default"/>
        <w:lang w:val="pl-PL" w:eastAsia="pl-PL" w:bidi="pl-PL"/>
      </w:rPr>
    </w:lvl>
    <w:lvl w:ilvl="5" w:tplc="712866B4">
      <w:numFmt w:val="bullet"/>
      <w:lvlText w:val="•"/>
      <w:lvlJc w:val="left"/>
      <w:pPr>
        <w:ind w:left="4227" w:hanging="360"/>
      </w:pPr>
      <w:rPr>
        <w:rFonts w:hint="default"/>
        <w:lang w:val="pl-PL" w:eastAsia="pl-PL" w:bidi="pl-PL"/>
      </w:rPr>
    </w:lvl>
    <w:lvl w:ilvl="6" w:tplc="8F46ED82">
      <w:numFmt w:val="bullet"/>
      <w:lvlText w:val="•"/>
      <w:lvlJc w:val="left"/>
      <w:pPr>
        <w:ind w:left="5243" w:hanging="360"/>
      </w:pPr>
      <w:rPr>
        <w:rFonts w:hint="default"/>
        <w:lang w:val="pl-PL" w:eastAsia="pl-PL" w:bidi="pl-PL"/>
      </w:rPr>
    </w:lvl>
    <w:lvl w:ilvl="7" w:tplc="5DCA617E">
      <w:numFmt w:val="bullet"/>
      <w:lvlText w:val="•"/>
      <w:lvlJc w:val="left"/>
      <w:pPr>
        <w:ind w:left="6259" w:hanging="360"/>
      </w:pPr>
      <w:rPr>
        <w:rFonts w:hint="default"/>
        <w:lang w:val="pl-PL" w:eastAsia="pl-PL" w:bidi="pl-PL"/>
      </w:rPr>
    </w:lvl>
    <w:lvl w:ilvl="8" w:tplc="AEE8A0EA">
      <w:numFmt w:val="bullet"/>
      <w:lvlText w:val="•"/>
      <w:lvlJc w:val="left"/>
      <w:pPr>
        <w:ind w:left="7274" w:hanging="360"/>
      </w:pPr>
      <w:rPr>
        <w:rFonts w:hint="default"/>
        <w:lang w:val="pl-PL" w:eastAsia="pl-PL" w:bidi="pl-PL"/>
      </w:rPr>
    </w:lvl>
  </w:abstractNum>
  <w:abstractNum w:abstractNumId="5" w15:restartNumberingAfterBreak="0">
    <w:nsid w:val="10832EE1"/>
    <w:multiLevelType w:val="hybridMultilevel"/>
    <w:tmpl w:val="8D989E14"/>
    <w:lvl w:ilvl="0" w:tplc="FFFFFFFF">
      <w:start w:val="1"/>
      <w:numFmt w:val="decimal"/>
      <w:lvlText w:val="%1."/>
      <w:lvlJc w:val="left"/>
      <w:pPr>
        <w:ind w:left="360" w:hanging="360"/>
      </w:pPr>
      <w:rPr>
        <w:rFonts w:ascii="Arial" w:hAnsi="Arial" w:cs="Arial" w:hint="default"/>
        <w:b w:val="0"/>
        <w:bCs w:val="0"/>
      </w:rPr>
    </w:lvl>
    <w:lvl w:ilvl="1" w:tplc="04150001">
      <w:start w:val="1"/>
      <w:numFmt w:val="bullet"/>
      <w:lvlText w:val=""/>
      <w:lvlJc w:val="left"/>
      <w:pPr>
        <w:ind w:left="720" w:hanging="360"/>
      </w:pPr>
      <w:rPr>
        <w:rFonts w:ascii="Symbol" w:hAnsi="Symbol" w:hint="default"/>
      </w:rPr>
    </w:lvl>
    <w:lvl w:ilvl="2" w:tplc="FFFFFFFF">
      <w:start w:val="1"/>
      <w:numFmt w:val="lowerLetter"/>
      <w:lvlText w:val="%3)"/>
      <w:lvlJc w:val="left"/>
      <w:pPr>
        <w:ind w:left="1788" w:hanging="360"/>
      </w:pPr>
    </w:lvl>
    <w:lvl w:ilvl="3" w:tplc="FFFFFFFF">
      <w:start w:val="1"/>
      <w:numFmt w:val="decimal"/>
      <w:lvlText w:val="%4."/>
      <w:lvlJc w:val="left"/>
      <w:pPr>
        <w:ind w:left="1746" w:hanging="360"/>
      </w:pPr>
    </w:lvl>
    <w:lvl w:ilvl="4" w:tplc="FFFFFFFF" w:tentative="1">
      <w:start w:val="1"/>
      <w:numFmt w:val="lowerLetter"/>
      <w:lvlText w:val="%5."/>
      <w:lvlJc w:val="left"/>
      <w:pPr>
        <w:ind w:left="2466" w:hanging="360"/>
      </w:pPr>
    </w:lvl>
    <w:lvl w:ilvl="5" w:tplc="FFFFFFFF" w:tentative="1">
      <w:start w:val="1"/>
      <w:numFmt w:val="lowerRoman"/>
      <w:lvlText w:val="%6."/>
      <w:lvlJc w:val="right"/>
      <w:pPr>
        <w:ind w:left="3186" w:hanging="180"/>
      </w:pPr>
    </w:lvl>
    <w:lvl w:ilvl="6" w:tplc="FFFFFFFF" w:tentative="1">
      <w:start w:val="1"/>
      <w:numFmt w:val="decimal"/>
      <w:lvlText w:val="%7."/>
      <w:lvlJc w:val="left"/>
      <w:pPr>
        <w:ind w:left="3906" w:hanging="360"/>
      </w:pPr>
    </w:lvl>
    <w:lvl w:ilvl="7" w:tplc="FFFFFFFF" w:tentative="1">
      <w:start w:val="1"/>
      <w:numFmt w:val="lowerLetter"/>
      <w:lvlText w:val="%8."/>
      <w:lvlJc w:val="left"/>
      <w:pPr>
        <w:ind w:left="4626" w:hanging="360"/>
      </w:pPr>
    </w:lvl>
    <w:lvl w:ilvl="8" w:tplc="FFFFFFFF" w:tentative="1">
      <w:start w:val="1"/>
      <w:numFmt w:val="lowerRoman"/>
      <w:lvlText w:val="%9."/>
      <w:lvlJc w:val="right"/>
      <w:pPr>
        <w:ind w:left="5346" w:hanging="180"/>
      </w:pPr>
    </w:lvl>
  </w:abstractNum>
  <w:abstractNum w:abstractNumId="6" w15:restartNumberingAfterBreak="0">
    <w:nsid w:val="15D425B7"/>
    <w:multiLevelType w:val="hybridMultilevel"/>
    <w:tmpl w:val="16E22362"/>
    <w:lvl w:ilvl="0" w:tplc="3BF22B1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68D5F9F"/>
    <w:multiLevelType w:val="hybridMultilevel"/>
    <w:tmpl w:val="27D0E0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A417889"/>
    <w:multiLevelType w:val="hybridMultilevel"/>
    <w:tmpl w:val="D5E2CC00"/>
    <w:lvl w:ilvl="0" w:tplc="947A7F0E">
      <w:numFmt w:val="bullet"/>
      <w:lvlText w:val="-"/>
      <w:lvlJc w:val="left"/>
      <w:pPr>
        <w:ind w:left="720" w:hanging="360"/>
      </w:pPr>
      <w:rPr>
        <w:rFonts w:ascii="Times New Roman" w:eastAsia="Times New Roman" w:hAnsi="Times New Roman" w:cs="Times New Roman" w:hint="default"/>
        <w:w w:val="100"/>
        <w:sz w:val="22"/>
        <w:szCs w:val="22"/>
        <w:lang w:val="pl-PL" w:eastAsia="pl-PL" w:bidi="pl-PL"/>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1D23B76"/>
    <w:multiLevelType w:val="hybridMultilevel"/>
    <w:tmpl w:val="B79697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4854ADE"/>
    <w:multiLevelType w:val="hybridMultilevel"/>
    <w:tmpl w:val="C68205B8"/>
    <w:lvl w:ilvl="0" w:tplc="04150001">
      <w:start w:val="1"/>
      <w:numFmt w:val="bullet"/>
      <w:lvlText w:val=""/>
      <w:lvlJc w:val="left"/>
      <w:pPr>
        <w:ind w:left="603" w:hanging="319"/>
      </w:pPr>
      <w:rPr>
        <w:rFonts w:ascii="Symbol" w:hAnsi="Symbol" w:hint="default"/>
        <w:spacing w:val="-2"/>
        <w:w w:val="100"/>
        <w:sz w:val="22"/>
        <w:szCs w:val="22"/>
        <w:lang w:val="pl-PL" w:eastAsia="pl-PL" w:bidi="pl-PL"/>
      </w:rPr>
    </w:lvl>
    <w:lvl w:ilvl="1" w:tplc="1B4804CC">
      <w:numFmt w:val="bullet"/>
      <w:lvlText w:val="•"/>
      <w:lvlJc w:val="left"/>
      <w:pPr>
        <w:ind w:left="1525" w:hanging="319"/>
      </w:pPr>
      <w:rPr>
        <w:rFonts w:hint="default"/>
        <w:lang w:val="pl-PL" w:eastAsia="pl-PL" w:bidi="pl-PL"/>
      </w:rPr>
    </w:lvl>
    <w:lvl w:ilvl="2" w:tplc="7610CBA6">
      <w:numFmt w:val="bullet"/>
      <w:lvlText w:val="•"/>
      <w:lvlJc w:val="left"/>
      <w:pPr>
        <w:ind w:left="2444" w:hanging="319"/>
      </w:pPr>
      <w:rPr>
        <w:rFonts w:hint="default"/>
        <w:lang w:val="pl-PL" w:eastAsia="pl-PL" w:bidi="pl-PL"/>
      </w:rPr>
    </w:lvl>
    <w:lvl w:ilvl="3" w:tplc="411AEBB6">
      <w:numFmt w:val="bullet"/>
      <w:lvlText w:val="•"/>
      <w:lvlJc w:val="left"/>
      <w:pPr>
        <w:ind w:left="3362" w:hanging="319"/>
      </w:pPr>
      <w:rPr>
        <w:rFonts w:hint="default"/>
        <w:lang w:val="pl-PL" w:eastAsia="pl-PL" w:bidi="pl-PL"/>
      </w:rPr>
    </w:lvl>
    <w:lvl w:ilvl="4" w:tplc="57387AE0">
      <w:numFmt w:val="bullet"/>
      <w:lvlText w:val="•"/>
      <w:lvlJc w:val="left"/>
      <w:pPr>
        <w:ind w:left="4281" w:hanging="319"/>
      </w:pPr>
      <w:rPr>
        <w:rFonts w:hint="default"/>
        <w:lang w:val="pl-PL" w:eastAsia="pl-PL" w:bidi="pl-PL"/>
      </w:rPr>
    </w:lvl>
    <w:lvl w:ilvl="5" w:tplc="5720C758">
      <w:numFmt w:val="bullet"/>
      <w:lvlText w:val="•"/>
      <w:lvlJc w:val="left"/>
      <w:pPr>
        <w:ind w:left="5200" w:hanging="319"/>
      </w:pPr>
      <w:rPr>
        <w:rFonts w:hint="default"/>
        <w:lang w:val="pl-PL" w:eastAsia="pl-PL" w:bidi="pl-PL"/>
      </w:rPr>
    </w:lvl>
    <w:lvl w:ilvl="6" w:tplc="337EBB9A">
      <w:numFmt w:val="bullet"/>
      <w:lvlText w:val="•"/>
      <w:lvlJc w:val="left"/>
      <w:pPr>
        <w:ind w:left="6118" w:hanging="319"/>
      </w:pPr>
      <w:rPr>
        <w:rFonts w:hint="default"/>
        <w:lang w:val="pl-PL" w:eastAsia="pl-PL" w:bidi="pl-PL"/>
      </w:rPr>
    </w:lvl>
    <w:lvl w:ilvl="7" w:tplc="786439E6">
      <w:numFmt w:val="bullet"/>
      <w:lvlText w:val="•"/>
      <w:lvlJc w:val="left"/>
      <w:pPr>
        <w:ind w:left="7037" w:hanging="319"/>
      </w:pPr>
      <w:rPr>
        <w:rFonts w:hint="default"/>
        <w:lang w:val="pl-PL" w:eastAsia="pl-PL" w:bidi="pl-PL"/>
      </w:rPr>
    </w:lvl>
    <w:lvl w:ilvl="8" w:tplc="B7D2AB7C">
      <w:numFmt w:val="bullet"/>
      <w:lvlText w:val="•"/>
      <w:lvlJc w:val="left"/>
      <w:pPr>
        <w:ind w:left="7956" w:hanging="319"/>
      </w:pPr>
      <w:rPr>
        <w:rFonts w:hint="default"/>
        <w:lang w:val="pl-PL" w:eastAsia="pl-PL" w:bidi="pl-PL"/>
      </w:rPr>
    </w:lvl>
  </w:abstractNum>
  <w:abstractNum w:abstractNumId="11" w15:restartNumberingAfterBreak="0">
    <w:nsid w:val="26182E94"/>
    <w:multiLevelType w:val="hybridMultilevel"/>
    <w:tmpl w:val="815C0A64"/>
    <w:lvl w:ilvl="0" w:tplc="04150003">
      <w:start w:val="1"/>
      <w:numFmt w:val="bullet"/>
      <w:lvlText w:val="o"/>
      <w:lvlJc w:val="left"/>
      <w:pPr>
        <w:ind w:left="1177" w:hanging="360"/>
      </w:pPr>
      <w:rPr>
        <w:rFonts w:ascii="Courier New" w:hAnsi="Courier New" w:cs="Courier New" w:hint="default"/>
        <w:w w:val="100"/>
        <w:sz w:val="22"/>
        <w:szCs w:val="22"/>
        <w:lang w:val="pl-PL" w:eastAsia="pl-PL" w:bidi="pl-PL"/>
      </w:rPr>
    </w:lvl>
    <w:lvl w:ilvl="1" w:tplc="FFFFFFFF" w:tentative="1">
      <w:start w:val="1"/>
      <w:numFmt w:val="bullet"/>
      <w:lvlText w:val="o"/>
      <w:lvlJc w:val="left"/>
      <w:pPr>
        <w:ind w:left="1897" w:hanging="360"/>
      </w:pPr>
      <w:rPr>
        <w:rFonts w:ascii="Courier New" w:hAnsi="Courier New" w:cs="Courier New" w:hint="default"/>
      </w:rPr>
    </w:lvl>
    <w:lvl w:ilvl="2" w:tplc="FFFFFFFF" w:tentative="1">
      <w:start w:val="1"/>
      <w:numFmt w:val="bullet"/>
      <w:lvlText w:val=""/>
      <w:lvlJc w:val="left"/>
      <w:pPr>
        <w:ind w:left="2617" w:hanging="360"/>
      </w:pPr>
      <w:rPr>
        <w:rFonts w:ascii="Wingdings" w:hAnsi="Wingdings" w:hint="default"/>
      </w:rPr>
    </w:lvl>
    <w:lvl w:ilvl="3" w:tplc="FFFFFFFF" w:tentative="1">
      <w:start w:val="1"/>
      <w:numFmt w:val="bullet"/>
      <w:lvlText w:val=""/>
      <w:lvlJc w:val="left"/>
      <w:pPr>
        <w:ind w:left="3337" w:hanging="360"/>
      </w:pPr>
      <w:rPr>
        <w:rFonts w:ascii="Symbol" w:hAnsi="Symbol" w:hint="default"/>
      </w:rPr>
    </w:lvl>
    <w:lvl w:ilvl="4" w:tplc="FFFFFFFF" w:tentative="1">
      <w:start w:val="1"/>
      <w:numFmt w:val="bullet"/>
      <w:lvlText w:val="o"/>
      <w:lvlJc w:val="left"/>
      <w:pPr>
        <w:ind w:left="4057" w:hanging="360"/>
      </w:pPr>
      <w:rPr>
        <w:rFonts w:ascii="Courier New" w:hAnsi="Courier New" w:cs="Courier New" w:hint="default"/>
      </w:rPr>
    </w:lvl>
    <w:lvl w:ilvl="5" w:tplc="FFFFFFFF" w:tentative="1">
      <w:start w:val="1"/>
      <w:numFmt w:val="bullet"/>
      <w:lvlText w:val=""/>
      <w:lvlJc w:val="left"/>
      <w:pPr>
        <w:ind w:left="4777" w:hanging="360"/>
      </w:pPr>
      <w:rPr>
        <w:rFonts w:ascii="Wingdings" w:hAnsi="Wingdings" w:hint="default"/>
      </w:rPr>
    </w:lvl>
    <w:lvl w:ilvl="6" w:tplc="FFFFFFFF" w:tentative="1">
      <w:start w:val="1"/>
      <w:numFmt w:val="bullet"/>
      <w:lvlText w:val=""/>
      <w:lvlJc w:val="left"/>
      <w:pPr>
        <w:ind w:left="5497" w:hanging="360"/>
      </w:pPr>
      <w:rPr>
        <w:rFonts w:ascii="Symbol" w:hAnsi="Symbol" w:hint="default"/>
      </w:rPr>
    </w:lvl>
    <w:lvl w:ilvl="7" w:tplc="FFFFFFFF" w:tentative="1">
      <w:start w:val="1"/>
      <w:numFmt w:val="bullet"/>
      <w:lvlText w:val="o"/>
      <w:lvlJc w:val="left"/>
      <w:pPr>
        <w:ind w:left="6217" w:hanging="360"/>
      </w:pPr>
      <w:rPr>
        <w:rFonts w:ascii="Courier New" w:hAnsi="Courier New" w:cs="Courier New" w:hint="default"/>
      </w:rPr>
    </w:lvl>
    <w:lvl w:ilvl="8" w:tplc="FFFFFFFF" w:tentative="1">
      <w:start w:val="1"/>
      <w:numFmt w:val="bullet"/>
      <w:lvlText w:val=""/>
      <w:lvlJc w:val="left"/>
      <w:pPr>
        <w:ind w:left="6937" w:hanging="360"/>
      </w:pPr>
      <w:rPr>
        <w:rFonts w:ascii="Wingdings" w:hAnsi="Wingdings" w:hint="default"/>
      </w:rPr>
    </w:lvl>
  </w:abstractNum>
  <w:abstractNum w:abstractNumId="12" w15:restartNumberingAfterBreak="0">
    <w:nsid w:val="278F50B5"/>
    <w:multiLevelType w:val="hybridMultilevel"/>
    <w:tmpl w:val="EDA67F66"/>
    <w:lvl w:ilvl="0" w:tplc="04150003">
      <w:start w:val="1"/>
      <w:numFmt w:val="bullet"/>
      <w:lvlText w:val="o"/>
      <w:lvlJc w:val="left"/>
      <w:pPr>
        <w:ind w:left="1537" w:hanging="360"/>
      </w:pPr>
      <w:rPr>
        <w:rFonts w:ascii="Courier New" w:hAnsi="Courier New" w:cs="Courier New" w:hint="default"/>
      </w:rPr>
    </w:lvl>
    <w:lvl w:ilvl="1" w:tplc="04150003" w:tentative="1">
      <w:start w:val="1"/>
      <w:numFmt w:val="bullet"/>
      <w:lvlText w:val="o"/>
      <w:lvlJc w:val="left"/>
      <w:pPr>
        <w:ind w:left="2257" w:hanging="360"/>
      </w:pPr>
      <w:rPr>
        <w:rFonts w:ascii="Courier New" w:hAnsi="Courier New" w:cs="Courier New" w:hint="default"/>
      </w:rPr>
    </w:lvl>
    <w:lvl w:ilvl="2" w:tplc="04150005" w:tentative="1">
      <w:start w:val="1"/>
      <w:numFmt w:val="bullet"/>
      <w:lvlText w:val=""/>
      <w:lvlJc w:val="left"/>
      <w:pPr>
        <w:ind w:left="2977" w:hanging="360"/>
      </w:pPr>
      <w:rPr>
        <w:rFonts w:ascii="Wingdings" w:hAnsi="Wingdings" w:hint="default"/>
      </w:rPr>
    </w:lvl>
    <w:lvl w:ilvl="3" w:tplc="04150001" w:tentative="1">
      <w:start w:val="1"/>
      <w:numFmt w:val="bullet"/>
      <w:lvlText w:val=""/>
      <w:lvlJc w:val="left"/>
      <w:pPr>
        <w:ind w:left="3697" w:hanging="360"/>
      </w:pPr>
      <w:rPr>
        <w:rFonts w:ascii="Symbol" w:hAnsi="Symbol" w:hint="default"/>
      </w:rPr>
    </w:lvl>
    <w:lvl w:ilvl="4" w:tplc="04150003" w:tentative="1">
      <w:start w:val="1"/>
      <w:numFmt w:val="bullet"/>
      <w:lvlText w:val="o"/>
      <w:lvlJc w:val="left"/>
      <w:pPr>
        <w:ind w:left="4417" w:hanging="360"/>
      </w:pPr>
      <w:rPr>
        <w:rFonts w:ascii="Courier New" w:hAnsi="Courier New" w:cs="Courier New" w:hint="default"/>
      </w:rPr>
    </w:lvl>
    <w:lvl w:ilvl="5" w:tplc="04150005" w:tentative="1">
      <w:start w:val="1"/>
      <w:numFmt w:val="bullet"/>
      <w:lvlText w:val=""/>
      <w:lvlJc w:val="left"/>
      <w:pPr>
        <w:ind w:left="5137" w:hanging="360"/>
      </w:pPr>
      <w:rPr>
        <w:rFonts w:ascii="Wingdings" w:hAnsi="Wingdings" w:hint="default"/>
      </w:rPr>
    </w:lvl>
    <w:lvl w:ilvl="6" w:tplc="04150001" w:tentative="1">
      <w:start w:val="1"/>
      <w:numFmt w:val="bullet"/>
      <w:lvlText w:val=""/>
      <w:lvlJc w:val="left"/>
      <w:pPr>
        <w:ind w:left="5857" w:hanging="360"/>
      </w:pPr>
      <w:rPr>
        <w:rFonts w:ascii="Symbol" w:hAnsi="Symbol" w:hint="default"/>
      </w:rPr>
    </w:lvl>
    <w:lvl w:ilvl="7" w:tplc="04150003" w:tentative="1">
      <w:start w:val="1"/>
      <w:numFmt w:val="bullet"/>
      <w:lvlText w:val="o"/>
      <w:lvlJc w:val="left"/>
      <w:pPr>
        <w:ind w:left="6577" w:hanging="360"/>
      </w:pPr>
      <w:rPr>
        <w:rFonts w:ascii="Courier New" w:hAnsi="Courier New" w:cs="Courier New" w:hint="default"/>
      </w:rPr>
    </w:lvl>
    <w:lvl w:ilvl="8" w:tplc="04150005" w:tentative="1">
      <w:start w:val="1"/>
      <w:numFmt w:val="bullet"/>
      <w:lvlText w:val=""/>
      <w:lvlJc w:val="left"/>
      <w:pPr>
        <w:ind w:left="7297" w:hanging="360"/>
      </w:pPr>
      <w:rPr>
        <w:rFonts w:ascii="Wingdings" w:hAnsi="Wingdings" w:hint="default"/>
      </w:rPr>
    </w:lvl>
  </w:abstractNum>
  <w:abstractNum w:abstractNumId="13" w15:restartNumberingAfterBreak="0">
    <w:nsid w:val="290B38A1"/>
    <w:multiLevelType w:val="hybridMultilevel"/>
    <w:tmpl w:val="83B4FDAE"/>
    <w:lvl w:ilvl="0" w:tplc="0809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9393941"/>
    <w:multiLevelType w:val="hybridMultilevel"/>
    <w:tmpl w:val="846A4D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97A71EB"/>
    <w:multiLevelType w:val="hybridMultilevel"/>
    <w:tmpl w:val="D42C52B8"/>
    <w:lvl w:ilvl="0" w:tplc="04150001">
      <w:start w:val="1"/>
      <w:numFmt w:val="bullet"/>
      <w:lvlText w:val=""/>
      <w:lvlJc w:val="left"/>
      <w:pPr>
        <w:ind w:left="360" w:hanging="360"/>
      </w:pPr>
      <w:rPr>
        <w:rFonts w:ascii="Symbol" w:hAnsi="Symbol" w:hint="default"/>
        <w:spacing w:val="-2"/>
        <w:w w:val="100"/>
        <w:sz w:val="22"/>
        <w:szCs w:val="22"/>
        <w:lang w:val="pl-PL" w:eastAsia="pl-PL" w:bidi="pl-PL"/>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FD121E2"/>
    <w:multiLevelType w:val="hybridMultilevel"/>
    <w:tmpl w:val="B6961CB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7724388"/>
    <w:multiLevelType w:val="hybridMultilevel"/>
    <w:tmpl w:val="FC422952"/>
    <w:lvl w:ilvl="0" w:tplc="48705B5A">
      <w:start w:val="1"/>
      <w:numFmt w:val="bullet"/>
      <w:lvlText w:val="-"/>
      <w:lvlJc w:val="left"/>
      <w:pPr>
        <w:ind w:left="1177" w:hanging="360"/>
      </w:pPr>
      <w:rPr>
        <w:rFonts w:ascii="Courier New" w:hAnsi="Courier New" w:cs="Times New Roman" w:hint="default"/>
      </w:rPr>
    </w:lvl>
    <w:lvl w:ilvl="1" w:tplc="04150003">
      <w:start w:val="1"/>
      <w:numFmt w:val="bullet"/>
      <w:lvlText w:val="o"/>
      <w:lvlJc w:val="left"/>
      <w:pPr>
        <w:ind w:left="1897" w:hanging="360"/>
      </w:pPr>
      <w:rPr>
        <w:rFonts w:ascii="Courier New" w:hAnsi="Courier New" w:cs="Courier New" w:hint="default"/>
      </w:rPr>
    </w:lvl>
    <w:lvl w:ilvl="2" w:tplc="04150005">
      <w:start w:val="1"/>
      <w:numFmt w:val="bullet"/>
      <w:lvlText w:val=""/>
      <w:lvlJc w:val="left"/>
      <w:pPr>
        <w:ind w:left="2617" w:hanging="360"/>
      </w:pPr>
      <w:rPr>
        <w:rFonts w:ascii="Wingdings" w:hAnsi="Wingdings" w:hint="default"/>
      </w:rPr>
    </w:lvl>
    <w:lvl w:ilvl="3" w:tplc="04150001">
      <w:start w:val="1"/>
      <w:numFmt w:val="bullet"/>
      <w:lvlText w:val=""/>
      <w:lvlJc w:val="left"/>
      <w:pPr>
        <w:ind w:left="3337" w:hanging="360"/>
      </w:pPr>
      <w:rPr>
        <w:rFonts w:ascii="Symbol" w:hAnsi="Symbol" w:hint="default"/>
      </w:rPr>
    </w:lvl>
    <w:lvl w:ilvl="4" w:tplc="04150003">
      <w:start w:val="1"/>
      <w:numFmt w:val="bullet"/>
      <w:lvlText w:val="o"/>
      <w:lvlJc w:val="left"/>
      <w:pPr>
        <w:ind w:left="4057" w:hanging="360"/>
      </w:pPr>
      <w:rPr>
        <w:rFonts w:ascii="Courier New" w:hAnsi="Courier New" w:cs="Courier New" w:hint="default"/>
      </w:rPr>
    </w:lvl>
    <w:lvl w:ilvl="5" w:tplc="04150005">
      <w:start w:val="1"/>
      <w:numFmt w:val="bullet"/>
      <w:lvlText w:val=""/>
      <w:lvlJc w:val="left"/>
      <w:pPr>
        <w:ind w:left="4777" w:hanging="360"/>
      </w:pPr>
      <w:rPr>
        <w:rFonts w:ascii="Wingdings" w:hAnsi="Wingdings" w:hint="default"/>
      </w:rPr>
    </w:lvl>
    <w:lvl w:ilvl="6" w:tplc="04150001">
      <w:start w:val="1"/>
      <w:numFmt w:val="bullet"/>
      <w:lvlText w:val=""/>
      <w:lvlJc w:val="left"/>
      <w:pPr>
        <w:ind w:left="5497" w:hanging="360"/>
      </w:pPr>
      <w:rPr>
        <w:rFonts w:ascii="Symbol" w:hAnsi="Symbol" w:hint="default"/>
      </w:rPr>
    </w:lvl>
    <w:lvl w:ilvl="7" w:tplc="04150003">
      <w:start w:val="1"/>
      <w:numFmt w:val="bullet"/>
      <w:lvlText w:val="o"/>
      <w:lvlJc w:val="left"/>
      <w:pPr>
        <w:ind w:left="6217" w:hanging="360"/>
      </w:pPr>
      <w:rPr>
        <w:rFonts w:ascii="Courier New" w:hAnsi="Courier New" w:cs="Courier New" w:hint="default"/>
      </w:rPr>
    </w:lvl>
    <w:lvl w:ilvl="8" w:tplc="04150005">
      <w:start w:val="1"/>
      <w:numFmt w:val="bullet"/>
      <w:lvlText w:val=""/>
      <w:lvlJc w:val="left"/>
      <w:pPr>
        <w:ind w:left="6937" w:hanging="360"/>
      </w:pPr>
      <w:rPr>
        <w:rFonts w:ascii="Wingdings" w:hAnsi="Wingdings" w:hint="default"/>
      </w:rPr>
    </w:lvl>
  </w:abstractNum>
  <w:abstractNum w:abstractNumId="18" w15:restartNumberingAfterBreak="0">
    <w:nsid w:val="39B6437F"/>
    <w:multiLevelType w:val="hybridMultilevel"/>
    <w:tmpl w:val="0ECACD00"/>
    <w:lvl w:ilvl="0" w:tplc="48705B5A">
      <w:start w:val="1"/>
      <w:numFmt w:val="bullet"/>
      <w:lvlText w:val="-"/>
      <w:lvlJc w:val="left"/>
      <w:pPr>
        <w:ind w:left="1537" w:hanging="360"/>
      </w:pPr>
      <w:rPr>
        <w:rFonts w:ascii="Courier New" w:hAnsi="Courier New" w:hint="default"/>
      </w:rPr>
    </w:lvl>
    <w:lvl w:ilvl="1" w:tplc="04150003" w:tentative="1">
      <w:start w:val="1"/>
      <w:numFmt w:val="bullet"/>
      <w:lvlText w:val="o"/>
      <w:lvlJc w:val="left"/>
      <w:pPr>
        <w:ind w:left="2257" w:hanging="360"/>
      </w:pPr>
      <w:rPr>
        <w:rFonts w:ascii="Courier New" w:hAnsi="Courier New" w:cs="Courier New" w:hint="default"/>
      </w:rPr>
    </w:lvl>
    <w:lvl w:ilvl="2" w:tplc="04150005" w:tentative="1">
      <w:start w:val="1"/>
      <w:numFmt w:val="bullet"/>
      <w:lvlText w:val=""/>
      <w:lvlJc w:val="left"/>
      <w:pPr>
        <w:ind w:left="2977" w:hanging="360"/>
      </w:pPr>
      <w:rPr>
        <w:rFonts w:ascii="Wingdings" w:hAnsi="Wingdings" w:hint="default"/>
      </w:rPr>
    </w:lvl>
    <w:lvl w:ilvl="3" w:tplc="04150001" w:tentative="1">
      <w:start w:val="1"/>
      <w:numFmt w:val="bullet"/>
      <w:lvlText w:val=""/>
      <w:lvlJc w:val="left"/>
      <w:pPr>
        <w:ind w:left="3697" w:hanging="360"/>
      </w:pPr>
      <w:rPr>
        <w:rFonts w:ascii="Symbol" w:hAnsi="Symbol" w:hint="default"/>
      </w:rPr>
    </w:lvl>
    <w:lvl w:ilvl="4" w:tplc="04150003" w:tentative="1">
      <w:start w:val="1"/>
      <w:numFmt w:val="bullet"/>
      <w:lvlText w:val="o"/>
      <w:lvlJc w:val="left"/>
      <w:pPr>
        <w:ind w:left="4417" w:hanging="360"/>
      </w:pPr>
      <w:rPr>
        <w:rFonts w:ascii="Courier New" w:hAnsi="Courier New" w:cs="Courier New" w:hint="default"/>
      </w:rPr>
    </w:lvl>
    <w:lvl w:ilvl="5" w:tplc="04150005" w:tentative="1">
      <w:start w:val="1"/>
      <w:numFmt w:val="bullet"/>
      <w:lvlText w:val=""/>
      <w:lvlJc w:val="left"/>
      <w:pPr>
        <w:ind w:left="5137" w:hanging="360"/>
      </w:pPr>
      <w:rPr>
        <w:rFonts w:ascii="Wingdings" w:hAnsi="Wingdings" w:hint="default"/>
      </w:rPr>
    </w:lvl>
    <w:lvl w:ilvl="6" w:tplc="04150001" w:tentative="1">
      <w:start w:val="1"/>
      <w:numFmt w:val="bullet"/>
      <w:lvlText w:val=""/>
      <w:lvlJc w:val="left"/>
      <w:pPr>
        <w:ind w:left="5857" w:hanging="360"/>
      </w:pPr>
      <w:rPr>
        <w:rFonts w:ascii="Symbol" w:hAnsi="Symbol" w:hint="default"/>
      </w:rPr>
    </w:lvl>
    <w:lvl w:ilvl="7" w:tplc="04150003" w:tentative="1">
      <w:start w:val="1"/>
      <w:numFmt w:val="bullet"/>
      <w:lvlText w:val="o"/>
      <w:lvlJc w:val="left"/>
      <w:pPr>
        <w:ind w:left="6577" w:hanging="360"/>
      </w:pPr>
      <w:rPr>
        <w:rFonts w:ascii="Courier New" w:hAnsi="Courier New" w:cs="Courier New" w:hint="default"/>
      </w:rPr>
    </w:lvl>
    <w:lvl w:ilvl="8" w:tplc="04150005" w:tentative="1">
      <w:start w:val="1"/>
      <w:numFmt w:val="bullet"/>
      <w:lvlText w:val=""/>
      <w:lvlJc w:val="left"/>
      <w:pPr>
        <w:ind w:left="7297" w:hanging="360"/>
      </w:pPr>
      <w:rPr>
        <w:rFonts w:ascii="Wingdings" w:hAnsi="Wingdings" w:hint="default"/>
      </w:rPr>
    </w:lvl>
  </w:abstractNum>
  <w:abstractNum w:abstractNumId="19" w15:restartNumberingAfterBreak="0">
    <w:nsid w:val="3EA91FCD"/>
    <w:multiLevelType w:val="hybridMultilevel"/>
    <w:tmpl w:val="21C6F98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14A7646"/>
    <w:multiLevelType w:val="hybridMultilevel"/>
    <w:tmpl w:val="A65ED07C"/>
    <w:lvl w:ilvl="0" w:tplc="3BF22B1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2ED3FF3"/>
    <w:multiLevelType w:val="hybridMultilevel"/>
    <w:tmpl w:val="14A422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4343AA9"/>
    <w:multiLevelType w:val="hybridMultilevel"/>
    <w:tmpl w:val="B622EF60"/>
    <w:lvl w:ilvl="0" w:tplc="48705B5A">
      <w:start w:val="1"/>
      <w:numFmt w:val="bullet"/>
      <w:lvlText w:val="-"/>
      <w:lvlJc w:val="left"/>
      <w:pPr>
        <w:ind w:left="1177" w:hanging="360"/>
      </w:pPr>
      <w:rPr>
        <w:rFonts w:ascii="Courier New" w:hAnsi="Courier New" w:hint="default"/>
        <w:w w:val="100"/>
        <w:sz w:val="22"/>
        <w:szCs w:val="22"/>
        <w:lang w:val="pl-PL" w:eastAsia="pl-PL" w:bidi="pl-PL"/>
      </w:rPr>
    </w:lvl>
    <w:lvl w:ilvl="1" w:tplc="04150003" w:tentative="1">
      <w:start w:val="1"/>
      <w:numFmt w:val="bullet"/>
      <w:lvlText w:val="o"/>
      <w:lvlJc w:val="left"/>
      <w:pPr>
        <w:ind w:left="1897" w:hanging="360"/>
      </w:pPr>
      <w:rPr>
        <w:rFonts w:ascii="Courier New" w:hAnsi="Courier New" w:cs="Courier New" w:hint="default"/>
      </w:rPr>
    </w:lvl>
    <w:lvl w:ilvl="2" w:tplc="04150005" w:tentative="1">
      <w:start w:val="1"/>
      <w:numFmt w:val="bullet"/>
      <w:lvlText w:val=""/>
      <w:lvlJc w:val="left"/>
      <w:pPr>
        <w:ind w:left="2617" w:hanging="360"/>
      </w:pPr>
      <w:rPr>
        <w:rFonts w:ascii="Wingdings" w:hAnsi="Wingdings" w:hint="default"/>
      </w:rPr>
    </w:lvl>
    <w:lvl w:ilvl="3" w:tplc="04150001" w:tentative="1">
      <w:start w:val="1"/>
      <w:numFmt w:val="bullet"/>
      <w:lvlText w:val=""/>
      <w:lvlJc w:val="left"/>
      <w:pPr>
        <w:ind w:left="3337" w:hanging="360"/>
      </w:pPr>
      <w:rPr>
        <w:rFonts w:ascii="Symbol" w:hAnsi="Symbol" w:hint="default"/>
      </w:rPr>
    </w:lvl>
    <w:lvl w:ilvl="4" w:tplc="04150003" w:tentative="1">
      <w:start w:val="1"/>
      <w:numFmt w:val="bullet"/>
      <w:lvlText w:val="o"/>
      <w:lvlJc w:val="left"/>
      <w:pPr>
        <w:ind w:left="4057" w:hanging="360"/>
      </w:pPr>
      <w:rPr>
        <w:rFonts w:ascii="Courier New" w:hAnsi="Courier New" w:cs="Courier New" w:hint="default"/>
      </w:rPr>
    </w:lvl>
    <w:lvl w:ilvl="5" w:tplc="04150005" w:tentative="1">
      <w:start w:val="1"/>
      <w:numFmt w:val="bullet"/>
      <w:lvlText w:val=""/>
      <w:lvlJc w:val="left"/>
      <w:pPr>
        <w:ind w:left="4777" w:hanging="360"/>
      </w:pPr>
      <w:rPr>
        <w:rFonts w:ascii="Wingdings" w:hAnsi="Wingdings" w:hint="default"/>
      </w:rPr>
    </w:lvl>
    <w:lvl w:ilvl="6" w:tplc="04150001" w:tentative="1">
      <w:start w:val="1"/>
      <w:numFmt w:val="bullet"/>
      <w:lvlText w:val=""/>
      <w:lvlJc w:val="left"/>
      <w:pPr>
        <w:ind w:left="5497" w:hanging="360"/>
      </w:pPr>
      <w:rPr>
        <w:rFonts w:ascii="Symbol" w:hAnsi="Symbol" w:hint="default"/>
      </w:rPr>
    </w:lvl>
    <w:lvl w:ilvl="7" w:tplc="04150003" w:tentative="1">
      <w:start w:val="1"/>
      <w:numFmt w:val="bullet"/>
      <w:lvlText w:val="o"/>
      <w:lvlJc w:val="left"/>
      <w:pPr>
        <w:ind w:left="6217" w:hanging="360"/>
      </w:pPr>
      <w:rPr>
        <w:rFonts w:ascii="Courier New" w:hAnsi="Courier New" w:cs="Courier New" w:hint="default"/>
      </w:rPr>
    </w:lvl>
    <w:lvl w:ilvl="8" w:tplc="04150005" w:tentative="1">
      <w:start w:val="1"/>
      <w:numFmt w:val="bullet"/>
      <w:lvlText w:val=""/>
      <w:lvlJc w:val="left"/>
      <w:pPr>
        <w:ind w:left="6937" w:hanging="360"/>
      </w:pPr>
      <w:rPr>
        <w:rFonts w:ascii="Wingdings" w:hAnsi="Wingdings" w:hint="default"/>
      </w:rPr>
    </w:lvl>
  </w:abstractNum>
  <w:abstractNum w:abstractNumId="23" w15:restartNumberingAfterBreak="0">
    <w:nsid w:val="4B6403DC"/>
    <w:multiLevelType w:val="hybridMultilevel"/>
    <w:tmpl w:val="07640B5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DF3251A"/>
    <w:multiLevelType w:val="hybridMultilevel"/>
    <w:tmpl w:val="ACC6D71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01A2DEF"/>
    <w:multiLevelType w:val="hybridMultilevel"/>
    <w:tmpl w:val="E42E7CF4"/>
    <w:lvl w:ilvl="0" w:tplc="FA98226A">
      <w:numFmt w:val="bullet"/>
      <w:lvlText w:val=""/>
      <w:lvlJc w:val="left"/>
      <w:pPr>
        <w:ind w:left="457" w:hanging="341"/>
      </w:pPr>
      <w:rPr>
        <w:rFonts w:ascii="Symbol" w:eastAsia="Symbol" w:hAnsi="Symbol" w:cs="Symbol" w:hint="default"/>
        <w:w w:val="100"/>
        <w:sz w:val="22"/>
        <w:szCs w:val="22"/>
        <w:lang w:val="pl-PL" w:eastAsia="pl-PL" w:bidi="pl-PL"/>
      </w:rPr>
    </w:lvl>
    <w:lvl w:ilvl="1" w:tplc="947A7F0E">
      <w:numFmt w:val="bullet"/>
      <w:lvlText w:val="-"/>
      <w:lvlJc w:val="left"/>
      <w:pPr>
        <w:ind w:left="1177" w:hanging="360"/>
      </w:pPr>
      <w:rPr>
        <w:rFonts w:ascii="Times New Roman" w:eastAsia="Times New Roman" w:hAnsi="Times New Roman" w:cs="Times New Roman" w:hint="default"/>
        <w:w w:val="100"/>
        <w:sz w:val="22"/>
        <w:szCs w:val="22"/>
        <w:lang w:val="pl-PL" w:eastAsia="pl-PL" w:bidi="pl-PL"/>
      </w:rPr>
    </w:lvl>
    <w:lvl w:ilvl="2" w:tplc="9D14A3E2">
      <w:numFmt w:val="bullet"/>
      <w:lvlText w:val="•"/>
      <w:lvlJc w:val="left"/>
      <w:pPr>
        <w:ind w:left="1180" w:hanging="360"/>
      </w:pPr>
      <w:rPr>
        <w:rFonts w:hint="default"/>
        <w:lang w:val="pl-PL" w:eastAsia="pl-PL" w:bidi="pl-PL"/>
      </w:rPr>
    </w:lvl>
    <w:lvl w:ilvl="3" w:tplc="8D8CD64C">
      <w:numFmt w:val="bullet"/>
      <w:lvlText w:val="•"/>
      <w:lvlJc w:val="left"/>
      <w:pPr>
        <w:ind w:left="2195" w:hanging="360"/>
      </w:pPr>
      <w:rPr>
        <w:rFonts w:hint="default"/>
        <w:lang w:val="pl-PL" w:eastAsia="pl-PL" w:bidi="pl-PL"/>
      </w:rPr>
    </w:lvl>
    <w:lvl w:ilvl="4" w:tplc="A63A8922">
      <w:numFmt w:val="bullet"/>
      <w:lvlText w:val="•"/>
      <w:lvlJc w:val="left"/>
      <w:pPr>
        <w:ind w:left="3211" w:hanging="360"/>
      </w:pPr>
      <w:rPr>
        <w:rFonts w:hint="default"/>
        <w:lang w:val="pl-PL" w:eastAsia="pl-PL" w:bidi="pl-PL"/>
      </w:rPr>
    </w:lvl>
    <w:lvl w:ilvl="5" w:tplc="712866B4">
      <w:numFmt w:val="bullet"/>
      <w:lvlText w:val="•"/>
      <w:lvlJc w:val="left"/>
      <w:pPr>
        <w:ind w:left="4227" w:hanging="360"/>
      </w:pPr>
      <w:rPr>
        <w:rFonts w:hint="default"/>
        <w:lang w:val="pl-PL" w:eastAsia="pl-PL" w:bidi="pl-PL"/>
      </w:rPr>
    </w:lvl>
    <w:lvl w:ilvl="6" w:tplc="8F46ED82">
      <w:numFmt w:val="bullet"/>
      <w:lvlText w:val="•"/>
      <w:lvlJc w:val="left"/>
      <w:pPr>
        <w:ind w:left="5243" w:hanging="360"/>
      </w:pPr>
      <w:rPr>
        <w:rFonts w:hint="default"/>
        <w:lang w:val="pl-PL" w:eastAsia="pl-PL" w:bidi="pl-PL"/>
      </w:rPr>
    </w:lvl>
    <w:lvl w:ilvl="7" w:tplc="5DCA617E">
      <w:numFmt w:val="bullet"/>
      <w:lvlText w:val="•"/>
      <w:lvlJc w:val="left"/>
      <w:pPr>
        <w:ind w:left="6259" w:hanging="360"/>
      </w:pPr>
      <w:rPr>
        <w:rFonts w:hint="default"/>
        <w:lang w:val="pl-PL" w:eastAsia="pl-PL" w:bidi="pl-PL"/>
      </w:rPr>
    </w:lvl>
    <w:lvl w:ilvl="8" w:tplc="AEE8A0EA">
      <w:numFmt w:val="bullet"/>
      <w:lvlText w:val="•"/>
      <w:lvlJc w:val="left"/>
      <w:pPr>
        <w:ind w:left="7274" w:hanging="360"/>
      </w:pPr>
      <w:rPr>
        <w:rFonts w:hint="default"/>
        <w:lang w:val="pl-PL" w:eastAsia="pl-PL" w:bidi="pl-PL"/>
      </w:rPr>
    </w:lvl>
  </w:abstractNum>
  <w:abstractNum w:abstractNumId="26" w15:restartNumberingAfterBreak="0">
    <w:nsid w:val="595150FF"/>
    <w:multiLevelType w:val="hybridMultilevel"/>
    <w:tmpl w:val="2996EAFE"/>
    <w:lvl w:ilvl="0" w:tplc="04150001">
      <w:start w:val="1"/>
      <w:numFmt w:val="bullet"/>
      <w:lvlText w:val=""/>
      <w:lvlJc w:val="left"/>
      <w:pPr>
        <w:ind w:left="1797" w:hanging="360"/>
      </w:pPr>
      <w:rPr>
        <w:rFonts w:ascii="Symbol" w:hAnsi="Symbol" w:hint="default"/>
      </w:rPr>
    </w:lvl>
    <w:lvl w:ilvl="1" w:tplc="04150003" w:tentative="1">
      <w:start w:val="1"/>
      <w:numFmt w:val="bullet"/>
      <w:lvlText w:val="o"/>
      <w:lvlJc w:val="left"/>
      <w:pPr>
        <w:ind w:left="2517" w:hanging="360"/>
      </w:pPr>
      <w:rPr>
        <w:rFonts w:ascii="Courier New" w:hAnsi="Courier New" w:cs="Courier New" w:hint="default"/>
      </w:rPr>
    </w:lvl>
    <w:lvl w:ilvl="2" w:tplc="04150005" w:tentative="1">
      <w:start w:val="1"/>
      <w:numFmt w:val="bullet"/>
      <w:lvlText w:val=""/>
      <w:lvlJc w:val="left"/>
      <w:pPr>
        <w:ind w:left="3237" w:hanging="360"/>
      </w:pPr>
      <w:rPr>
        <w:rFonts w:ascii="Wingdings" w:hAnsi="Wingdings" w:hint="default"/>
      </w:rPr>
    </w:lvl>
    <w:lvl w:ilvl="3" w:tplc="04150001" w:tentative="1">
      <w:start w:val="1"/>
      <w:numFmt w:val="bullet"/>
      <w:lvlText w:val=""/>
      <w:lvlJc w:val="left"/>
      <w:pPr>
        <w:ind w:left="3957" w:hanging="360"/>
      </w:pPr>
      <w:rPr>
        <w:rFonts w:ascii="Symbol" w:hAnsi="Symbol" w:hint="default"/>
      </w:rPr>
    </w:lvl>
    <w:lvl w:ilvl="4" w:tplc="04150003" w:tentative="1">
      <w:start w:val="1"/>
      <w:numFmt w:val="bullet"/>
      <w:lvlText w:val="o"/>
      <w:lvlJc w:val="left"/>
      <w:pPr>
        <w:ind w:left="4677" w:hanging="360"/>
      </w:pPr>
      <w:rPr>
        <w:rFonts w:ascii="Courier New" w:hAnsi="Courier New" w:cs="Courier New" w:hint="default"/>
      </w:rPr>
    </w:lvl>
    <w:lvl w:ilvl="5" w:tplc="04150005" w:tentative="1">
      <w:start w:val="1"/>
      <w:numFmt w:val="bullet"/>
      <w:lvlText w:val=""/>
      <w:lvlJc w:val="left"/>
      <w:pPr>
        <w:ind w:left="5397" w:hanging="360"/>
      </w:pPr>
      <w:rPr>
        <w:rFonts w:ascii="Wingdings" w:hAnsi="Wingdings" w:hint="default"/>
      </w:rPr>
    </w:lvl>
    <w:lvl w:ilvl="6" w:tplc="04150001" w:tentative="1">
      <w:start w:val="1"/>
      <w:numFmt w:val="bullet"/>
      <w:lvlText w:val=""/>
      <w:lvlJc w:val="left"/>
      <w:pPr>
        <w:ind w:left="6117" w:hanging="360"/>
      </w:pPr>
      <w:rPr>
        <w:rFonts w:ascii="Symbol" w:hAnsi="Symbol" w:hint="default"/>
      </w:rPr>
    </w:lvl>
    <w:lvl w:ilvl="7" w:tplc="04150003" w:tentative="1">
      <w:start w:val="1"/>
      <w:numFmt w:val="bullet"/>
      <w:lvlText w:val="o"/>
      <w:lvlJc w:val="left"/>
      <w:pPr>
        <w:ind w:left="6837" w:hanging="360"/>
      </w:pPr>
      <w:rPr>
        <w:rFonts w:ascii="Courier New" w:hAnsi="Courier New" w:cs="Courier New" w:hint="default"/>
      </w:rPr>
    </w:lvl>
    <w:lvl w:ilvl="8" w:tplc="04150005" w:tentative="1">
      <w:start w:val="1"/>
      <w:numFmt w:val="bullet"/>
      <w:lvlText w:val=""/>
      <w:lvlJc w:val="left"/>
      <w:pPr>
        <w:ind w:left="7557" w:hanging="360"/>
      </w:pPr>
      <w:rPr>
        <w:rFonts w:ascii="Wingdings" w:hAnsi="Wingdings" w:hint="default"/>
      </w:rPr>
    </w:lvl>
  </w:abstractNum>
  <w:abstractNum w:abstractNumId="27" w15:restartNumberingAfterBreak="0">
    <w:nsid w:val="66F817E6"/>
    <w:multiLevelType w:val="hybridMultilevel"/>
    <w:tmpl w:val="1C3212B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6CF24BB5"/>
    <w:multiLevelType w:val="hybridMultilevel"/>
    <w:tmpl w:val="24C4FA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D97125F"/>
    <w:multiLevelType w:val="hybridMultilevel"/>
    <w:tmpl w:val="744ADD48"/>
    <w:lvl w:ilvl="0" w:tplc="FA98226A">
      <w:numFmt w:val="bullet"/>
      <w:lvlText w:val=""/>
      <w:lvlJc w:val="left"/>
      <w:pPr>
        <w:ind w:left="457" w:hanging="341"/>
      </w:pPr>
      <w:rPr>
        <w:rFonts w:ascii="Symbol" w:eastAsia="Symbol" w:hAnsi="Symbol" w:cs="Symbol" w:hint="default"/>
        <w:w w:val="100"/>
        <w:sz w:val="22"/>
        <w:szCs w:val="22"/>
        <w:lang w:val="pl-PL" w:eastAsia="pl-PL" w:bidi="pl-PL"/>
      </w:rPr>
    </w:lvl>
    <w:lvl w:ilvl="1" w:tplc="947A7F0E">
      <w:numFmt w:val="bullet"/>
      <w:lvlText w:val="-"/>
      <w:lvlJc w:val="left"/>
      <w:pPr>
        <w:ind w:left="1177" w:hanging="360"/>
      </w:pPr>
      <w:rPr>
        <w:rFonts w:ascii="Times New Roman" w:eastAsia="Times New Roman" w:hAnsi="Times New Roman" w:cs="Times New Roman" w:hint="default"/>
        <w:w w:val="100"/>
        <w:sz w:val="22"/>
        <w:szCs w:val="22"/>
        <w:lang w:val="pl-PL" w:eastAsia="pl-PL" w:bidi="pl-PL"/>
      </w:rPr>
    </w:lvl>
    <w:lvl w:ilvl="2" w:tplc="9D14A3E2">
      <w:numFmt w:val="bullet"/>
      <w:lvlText w:val="•"/>
      <w:lvlJc w:val="left"/>
      <w:pPr>
        <w:ind w:left="1180" w:hanging="360"/>
      </w:pPr>
      <w:rPr>
        <w:rFonts w:hint="default"/>
        <w:lang w:val="pl-PL" w:eastAsia="pl-PL" w:bidi="pl-PL"/>
      </w:rPr>
    </w:lvl>
    <w:lvl w:ilvl="3" w:tplc="8D8CD64C">
      <w:numFmt w:val="bullet"/>
      <w:lvlText w:val="•"/>
      <w:lvlJc w:val="left"/>
      <w:pPr>
        <w:ind w:left="2195" w:hanging="360"/>
      </w:pPr>
      <w:rPr>
        <w:rFonts w:hint="default"/>
        <w:lang w:val="pl-PL" w:eastAsia="pl-PL" w:bidi="pl-PL"/>
      </w:rPr>
    </w:lvl>
    <w:lvl w:ilvl="4" w:tplc="A63A8922">
      <w:numFmt w:val="bullet"/>
      <w:lvlText w:val="•"/>
      <w:lvlJc w:val="left"/>
      <w:pPr>
        <w:ind w:left="3211" w:hanging="360"/>
      </w:pPr>
      <w:rPr>
        <w:rFonts w:hint="default"/>
        <w:lang w:val="pl-PL" w:eastAsia="pl-PL" w:bidi="pl-PL"/>
      </w:rPr>
    </w:lvl>
    <w:lvl w:ilvl="5" w:tplc="712866B4">
      <w:numFmt w:val="bullet"/>
      <w:lvlText w:val="•"/>
      <w:lvlJc w:val="left"/>
      <w:pPr>
        <w:ind w:left="4227" w:hanging="360"/>
      </w:pPr>
      <w:rPr>
        <w:rFonts w:hint="default"/>
        <w:lang w:val="pl-PL" w:eastAsia="pl-PL" w:bidi="pl-PL"/>
      </w:rPr>
    </w:lvl>
    <w:lvl w:ilvl="6" w:tplc="8F46ED82">
      <w:numFmt w:val="bullet"/>
      <w:lvlText w:val="•"/>
      <w:lvlJc w:val="left"/>
      <w:pPr>
        <w:ind w:left="5243" w:hanging="360"/>
      </w:pPr>
      <w:rPr>
        <w:rFonts w:hint="default"/>
        <w:lang w:val="pl-PL" w:eastAsia="pl-PL" w:bidi="pl-PL"/>
      </w:rPr>
    </w:lvl>
    <w:lvl w:ilvl="7" w:tplc="5DCA617E">
      <w:numFmt w:val="bullet"/>
      <w:lvlText w:val="•"/>
      <w:lvlJc w:val="left"/>
      <w:pPr>
        <w:ind w:left="6259" w:hanging="360"/>
      </w:pPr>
      <w:rPr>
        <w:rFonts w:hint="default"/>
        <w:lang w:val="pl-PL" w:eastAsia="pl-PL" w:bidi="pl-PL"/>
      </w:rPr>
    </w:lvl>
    <w:lvl w:ilvl="8" w:tplc="AEE8A0EA">
      <w:numFmt w:val="bullet"/>
      <w:lvlText w:val="•"/>
      <w:lvlJc w:val="left"/>
      <w:pPr>
        <w:ind w:left="7274" w:hanging="360"/>
      </w:pPr>
      <w:rPr>
        <w:rFonts w:hint="default"/>
        <w:lang w:val="pl-PL" w:eastAsia="pl-PL" w:bidi="pl-PL"/>
      </w:rPr>
    </w:lvl>
  </w:abstractNum>
  <w:abstractNum w:abstractNumId="30" w15:restartNumberingAfterBreak="0">
    <w:nsid w:val="704A1F37"/>
    <w:multiLevelType w:val="hybridMultilevel"/>
    <w:tmpl w:val="369697E0"/>
    <w:lvl w:ilvl="0" w:tplc="854062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13555CE"/>
    <w:multiLevelType w:val="hybridMultilevel"/>
    <w:tmpl w:val="7CBE030C"/>
    <w:lvl w:ilvl="0" w:tplc="D952AD9E">
      <w:start w:val="1"/>
      <w:numFmt w:val="decimal"/>
      <w:pStyle w:val="Bezodstpw"/>
      <w:lvlText w:val="%1."/>
      <w:lvlJc w:val="left"/>
      <w:pPr>
        <w:ind w:left="360" w:hanging="360"/>
      </w:pPr>
      <w:rPr>
        <w:rFonts w:ascii="Arial" w:hAnsi="Arial" w:cs="Arial" w:hint="default"/>
        <w:b w:val="0"/>
        <w:bCs w:val="0"/>
      </w:rPr>
    </w:lvl>
    <w:lvl w:ilvl="1" w:tplc="04150011">
      <w:start w:val="1"/>
      <w:numFmt w:val="decimal"/>
      <w:lvlText w:val="%2)"/>
      <w:lvlJc w:val="left"/>
      <w:pPr>
        <w:ind w:left="1069" w:hanging="360"/>
      </w:pPr>
    </w:lvl>
    <w:lvl w:ilvl="2" w:tplc="04150017">
      <w:start w:val="1"/>
      <w:numFmt w:val="lowerLetter"/>
      <w:lvlText w:val="%3)"/>
      <w:lvlJc w:val="left"/>
      <w:pPr>
        <w:ind w:left="1788" w:hanging="360"/>
      </w:pPr>
    </w:lvl>
    <w:lvl w:ilvl="3" w:tplc="0415000F">
      <w:start w:val="1"/>
      <w:numFmt w:val="decimal"/>
      <w:lvlText w:val="%4."/>
      <w:lvlJc w:val="left"/>
      <w:pPr>
        <w:ind w:left="1746" w:hanging="360"/>
      </w:pPr>
    </w:lvl>
    <w:lvl w:ilvl="4" w:tplc="04150019" w:tentative="1">
      <w:start w:val="1"/>
      <w:numFmt w:val="lowerLetter"/>
      <w:lvlText w:val="%5."/>
      <w:lvlJc w:val="left"/>
      <w:pPr>
        <w:ind w:left="2466" w:hanging="360"/>
      </w:pPr>
    </w:lvl>
    <w:lvl w:ilvl="5" w:tplc="0415001B" w:tentative="1">
      <w:start w:val="1"/>
      <w:numFmt w:val="lowerRoman"/>
      <w:lvlText w:val="%6."/>
      <w:lvlJc w:val="right"/>
      <w:pPr>
        <w:ind w:left="3186" w:hanging="180"/>
      </w:pPr>
    </w:lvl>
    <w:lvl w:ilvl="6" w:tplc="0415000F" w:tentative="1">
      <w:start w:val="1"/>
      <w:numFmt w:val="decimal"/>
      <w:lvlText w:val="%7."/>
      <w:lvlJc w:val="left"/>
      <w:pPr>
        <w:ind w:left="3906" w:hanging="360"/>
      </w:pPr>
    </w:lvl>
    <w:lvl w:ilvl="7" w:tplc="04150019" w:tentative="1">
      <w:start w:val="1"/>
      <w:numFmt w:val="lowerLetter"/>
      <w:lvlText w:val="%8."/>
      <w:lvlJc w:val="left"/>
      <w:pPr>
        <w:ind w:left="4626" w:hanging="360"/>
      </w:pPr>
    </w:lvl>
    <w:lvl w:ilvl="8" w:tplc="0415001B" w:tentative="1">
      <w:start w:val="1"/>
      <w:numFmt w:val="lowerRoman"/>
      <w:lvlText w:val="%9."/>
      <w:lvlJc w:val="right"/>
      <w:pPr>
        <w:ind w:left="5346" w:hanging="180"/>
      </w:pPr>
    </w:lvl>
  </w:abstractNum>
  <w:abstractNum w:abstractNumId="32" w15:restartNumberingAfterBreak="0">
    <w:nsid w:val="76FC7A20"/>
    <w:multiLevelType w:val="hybridMultilevel"/>
    <w:tmpl w:val="A88210B4"/>
    <w:lvl w:ilvl="0" w:tplc="136EE7D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A4B52E0"/>
    <w:multiLevelType w:val="hybridMultilevel"/>
    <w:tmpl w:val="7D56B264"/>
    <w:lvl w:ilvl="0" w:tplc="41E094C2">
      <w:start w:val="1"/>
      <w:numFmt w:val="decimal"/>
      <w:lvlText w:val="%1."/>
      <w:lvlJc w:val="left"/>
      <w:pPr>
        <w:ind w:left="1080" w:hanging="720"/>
      </w:pPr>
      <w:rPr>
        <w:rFonts w:ascii="Times New Roman" w:hAnsi="Times New Roman" w:cs="Times New Roman" w:hint="default"/>
        <w:b/>
        <w:bCs/>
        <w:sz w:val="22"/>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57347996">
    <w:abstractNumId w:val="30"/>
  </w:num>
  <w:num w:numId="2" w16cid:durableId="1356426394">
    <w:abstractNumId w:val="10"/>
  </w:num>
  <w:num w:numId="3" w16cid:durableId="18285501">
    <w:abstractNumId w:val="25"/>
  </w:num>
  <w:num w:numId="4" w16cid:durableId="523711488">
    <w:abstractNumId w:val="29"/>
  </w:num>
  <w:num w:numId="5" w16cid:durableId="1674066169">
    <w:abstractNumId w:val="24"/>
  </w:num>
  <w:num w:numId="6" w16cid:durableId="1215971728">
    <w:abstractNumId w:val="18"/>
  </w:num>
  <w:num w:numId="7" w16cid:durableId="1975981634">
    <w:abstractNumId w:val="1"/>
  </w:num>
  <w:num w:numId="8" w16cid:durableId="1690179939">
    <w:abstractNumId w:val="12"/>
  </w:num>
  <w:num w:numId="9" w16cid:durableId="848561765">
    <w:abstractNumId w:val="19"/>
  </w:num>
  <w:num w:numId="10" w16cid:durableId="1137574100">
    <w:abstractNumId w:val="4"/>
  </w:num>
  <w:num w:numId="11" w16cid:durableId="1114443009">
    <w:abstractNumId w:val="6"/>
  </w:num>
  <w:num w:numId="12" w16cid:durableId="677972142">
    <w:abstractNumId w:val="20"/>
  </w:num>
  <w:num w:numId="13" w16cid:durableId="1257011413">
    <w:abstractNumId w:val="16"/>
  </w:num>
  <w:num w:numId="14" w16cid:durableId="909578023">
    <w:abstractNumId w:val="23"/>
  </w:num>
  <w:num w:numId="15" w16cid:durableId="647128564">
    <w:abstractNumId w:val="3"/>
  </w:num>
  <w:num w:numId="16" w16cid:durableId="653527914">
    <w:abstractNumId w:val="0"/>
  </w:num>
  <w:num w:numId="17" w16cid:durableId="1895660157">
    <w:abstractNumId w:val="8"/>
  </w:num>
  <w:num w:numId="18" w16cid:durableId="268705599">
    <w:abstractNumId w:val="33"/>
  </w:num>
  <w:num w:numId="19" w16cid:durableId="1959557912">
    <w:abstractNumId w:val="7"/>
  </w:num>
  <w:num w:numId="20" w16cid:durableId="535775400">
    <w:abstractNumId w:val="31"/>
  </w:num>
  <w:num w:numId="21" w16cid:durableId="546114074">
    <w:abstractNumId w:val="5"/>
  </w:num>
  <w:num w:numId="22" w16cid:durableId="1260137096">
    <w:abstractNumId w:val="27"/>
  </w:num>
  <w:num w:numId="23" w16cid:durableId="2110351760">
    <w:abstractNumId w:val="32"/>
  </w:num>
  <w:num w:numId="24" w16cid:durableId="851383909">
    <w:abstractNumId w:val="22"/>
  </w:num>
  <w:num w:numId="25" w16cid:durableId="570506612">
    <w:abstractNumId w:val="11"/>
  </w:num>
  <w:num w:numId="26" w16cid:durableId="1746873394">
    <w:abstractNumId w:val="15"/>
  </w:num>
  <w:num w:numId="27" w16cid:durableId="1114520063">
    <w:abstractNumId w:val="9"/>
  </w:num>
  <w:num w:numId="28" w16cid:durableId="1634166985">
    <w:abstractNumId w:val="14"/>
  </w:num>
  <w:num w:numId="29" w16cid:durableId="1650280569">
    <w:abstractNumId w:val="2"/>
  </w:num>
  <w:num w:numId="30" w16cid:durableId="969626197">
    <w:abstractNumId w:val="26"/>
  </w:num>
  <w:num w:numId="31" w16cid:durableId="583338895">
    <w:abstractNumId w:val="13"/>
  </w:num>
  <w:num w:numId="32" w16cid:durableId="851604345">
    <w:abstractNumId w:val="21"/>
  </w:num>
  <w:num w:numId="33" w16cid:durableId="844781305">
    <w:abstractNumId w:val="17"/>
  </w:num>
  <w:num w:numId="34" w16cid:durableId="1418550481">
    <w:abstractNumId w:val="2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06D"/>
    <w:rsid w:val="002847DD"/>
    <w:rsid w:val="00363463"/>
    <w:rsid w:val="00594F70"/>
    <w:rsid w:val="00675B21"/>
    <w:rsid w:val="0099206D"/>
    <w:rsid w:val="00BC5A12"/>
    <w:rsid w:val="00C501BE"/>
    <w:rsid w:val="00D514E0"/>
    <w:rsid w:val="00DD04A6"/>
    <w:rsid w:val="00FD00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182413"/>
  <w15:docId w15:val="{5FC36F52-90F1-4459-8C70-5886F37D8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Nagwek2">
    <w:name w:val="heading 2"/>
    <w:basedOn w:val="Normalny"/>
    <w:next w:val="Normalny"/>
    <w:link w:val="Nagwek2Znak"/>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lp1,Preambuła,Tytuły,K2 lista alfabetyczna,Akapit z listą 1,Numerowanie,Kolorowa lista — akcent 11,Akapit z listą BS,normalny tekst,Nagłowek 3,Podsis rysunku,Bullet Number,Body MS Bullet,List Paragraph1,List Paragraph2,ISCG Numerowanie"/>
    <w:basedOn w:val="Normalny"/>
    <w:link w:val="AkapitzlistZnak"/>
    <w:uiPriority w:val="34"/>
    <w:qFormat/>
    <w:pPr>
      <w:ind w:left="720"/>
      <w:contextualSpacing/>
    </w:pPr>
  </w:style>
  <w:style w:type="character" w:styleId="Hipercze">
    <w:name w:val="Hyperlink"/>
    <w:uiPriority w:val="99"/>
    <w:unhideWhenUsed/>
    <w:rPr>
      <w:color w:val="0000FF"/>
      <w:u w:val="single"/>
    </w:rPr>
  </w:style>
  <w:style w:type="character" w:customStyle="1" w:styleId="Nierozpoznanawzmianka1">
    <w:name w:val="Nierozpoznana wzmianka1"/>
    <w:basedOn w:val="Domylnaczcionkaakapitu"/>
    <w:uiPriority w:val="99"/>
    <w:semiHidden/>
    <w:unhideWhenUsed/>
    <w:rPr>
      <w:color w:val="605E5C"/>
      <w:shd w:val="clear" w:color="auto" w:fill="E1DFDD"/>
    </w:rPr>
  </w:style>
  <w:style w:type="character" w:styleId="Odwoaniedokomentarza">
    <w:name w:val="annotation reference"/>
    <w:basedOn w:val="Domylnaczcionkaakapitu"/>
    <w:uiPriority w:val="99"/>
    <w:semiHidden/>
    <w:unhideWhenUsed/>
    <w:rPr>
      <w:sz w:val="16"/>
      <w:szCs w:val="16"/>
    </w:rPr>
  </w:style>
  <w:style w:type="paragraph" w:styleId="Tekstkomentarza">
    <w:name w:val="annotation text"/>
    <w:basedOn w:val="Normalny"/>
    <w:link w:val="TekstkomentarzaZnak"/>
    <w:uiPriority w:val="99"/>
    <w:unhideWhenUsed/>
    <w:pPr>
      <w:spacing w:line="240" w:lineRule="auto"/>
    </w:pPr>
    <w:rPr>
      <w:sz w:val="20"/>
      <w:szCs w:val="20"/>
    </w:rPr>
  </w:style>
  <w:style w:type="character" w:customStyle="1" w:styleId="TekstkomentarzaZnak">
    <w:name w:val="Tekst komentarza Znak"/>
    <w:basedOn w:val="Domylnaczcionkaakapitu"/>
    <w:link w:val="Tekstkomentarza"/>
    <w:uiPriority w:val="99"/>
    <w:rPr>
      <w:sz w:val="20"/>
      <w:szCs w:val="20"/>
    </w:rPr>
  </w:style>
  <w:style w:type="paragraph" w:styleId="Tematkomentarza">
    <w:name w:val="annotation subject"/>
    <w:basedOn w:val="Tekstkomentarza"/>
    <w:next w:val="Tekstkomentarza"/>
    <w:link w:val="TematkomentarzaZnak"/>
    <w:uiPriority w:val="99"/>
    <w:semiHidden/>
    <w:unhideWhenUsed/>
    <w:rPr>
      <w:b/>
      <w:bCs/>
    </w:rPr>
  </w:style>
  <w:style w:type="character" w:customStyle="1" w:styleId="TematkomentarzaZnak">
    <w:name w:val="Temat komentarza Znak"/>
    <w:basedOn w:val="TekstkomentarzaZnak"/>
    <w:link w:val="Tematkomentarza"/>
    <w:uiPriority w:val="99"/>
    <w:semiHidden/>
    <w:rPr>
      <w:b/>
      <w:bCs/>
      <w:sz w:val="20"/>
      <w:szCs w:val="20"/>
    </w:rPr>
  </w:style>
  <w:style w:type="paragraph" w:styleId="Tekstdymka">
    <w:name w:val="Balloon Text"/>
    <w:basedOn w:val="Normalny"/>
    <w:link w:val="TekstdymkaZnak"/>
    <w:uiPriority w:val="99"/>
    <w:semiHidden/>
    <w:unhideWhenUse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Pr>
      <w:rFonts w:ascii="Segoe UI" w:hAnsi="Segoe UI" w:cs="Segoe UI"/>
      <w:sz w:val="18"/>
      <w:szCs w:val="18"/>
    </w:rPr>
  </w:style>
  <w:style w:type="character" w:customStyle="1" w:styleId="Stopka">
    <w:name w:val="Stopka_"/>
    <w:basedOn w:val="Domylnaczcionkaakapitu"/>
    <w:link w:val="Stopka5"/>
    <w:rPr>
      <w:rFonts w:ascii="Times New Roman" w:eastAsia="Times New Roman" w:hAnsi="Times New Roman" w:cs="Times New Roman"/>
      <w:sz w:val="20"/>
      <w:szCs w:val="20"/>
      <w:shd w:val="clear" w:color="auto" w:fill="FFFFFF"/>
    </w:rPr>
  </w:style>
  <w:style w:type="character" w:customStyle="1" w:styleId="Stopka1">
    <w:name w:val="Stopka1"/>
    <w:basedOn w:val="Stopka"/>
    <w:rPr>
      <w:rFonts w:ascii="Times New Roman" w:eastAsia="Times New Roman" w:hAnsi="Times New Roman" w:cs="Times New Roman"/>
      <w:color w:val="000000"/>
      <w:spacing w:val="0"/>
      <w:w w:val="100"/>
      <w:position w:val="0"/>
      <w:sz w:val="20"/>
      <w:szCs w:val="20"/>
      <w:shd w:val="clear" w:color="auto" w:fill="FFFFFF"/>
      <w:lang w:val="pl-PL" w:eastAsia="pl-PL" w:bidi="pl-PL"/>
    </w:rPr>
  </w:style>
  <w:style w:type="character" w:customStyle="1" w:styleId="Teksttreci2">
    <w:name w:val="Tekst treści (2)"/>
    <w:basedOn w:val="Domylnaczcionkaakapitu"/>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style>
  <w:style w:type="paragraph" w:customStyle="1" w:styleId="Stopka5">
    <w:name w:val="Stopka5"/>
    <w:basedOn w:val="Normalny"/>
    <w:link w:val="Stopka"/>
    <w:pPr>
      <w:widowControl w:val="0"/>
      <w:shd w:val="clear" w:color="auto" w:fill="FFFFFF"/>
      <w:spacing w:after="0" w:line="226" w:lineRule="exact"/>
    </w:pPr>
    <w:rPr>
      <w:rFonts w:ascii="Times New Roman" w:eastAsia="Times New Roman" w:hAnsi="Times New Roman" w:cs="Times New Roman"/>
      <w:sz w:val="20"/>
      <w:szCs w:val="20"/>
    </w:rPr>
  </w:style>
  <w:style w:type="paragraph" w:customStyle="1" w:styleId="IFACListStyle1">
    <w:name w:val="IFAC ListStyle 1"/>
    <w:aliases w:val="ls1"/>
    <w:basedOn w:val="Normalny"/>
    <w:qFormat/>
    <w:pPr>
      <w:tabs>
        <w:tab w:val="left" w:pos="547"/>
      </w:tabs>
      <w:spacing w:before="120" w:after="0" w:line="280" w:lineRule="exact"/>
      <w:jc w:val="both"/>
    </w:pPr>
    <w:rPr>
      <w:rFonts w:ascii="Arial" w:eastAsia="Times New Roman" w:hAnsi="Arial" w:cs="Times New Roman"/>
      <w:kern w:val="8"/>
      <w:sz w:val="20"/>
      <w:szCs w:val="24"/>
      <w:lang w:bidi="he-IL"/>
    </w:rPr>
  </w:style>
  <w:style w:type="character" w:customStyle="1" w:styleId="StopkaKursywa">
    <w:name w:val="Stopka + Kursywa"/>
    <w:basedOn w:val="Stopka"/>
    <w:rPr>
      <w:rFonts w:ascii="Times New Roman" w:eastAsia="Times New Roman" w:hAnsi="Times New Roman" w:cs="Times New Roman"/>
      <w:i/>
      <w:iCs/>
      <w:color w:val="000000"/>
      <w:spacing w:val="0"/>
      <w:w w:val="100"/>
      <w:position w:val="0"/>
      <w:sz w:val="20"/>
      <w:szCs w:val="20"/>
      <w:shd w:val="clear" w:color="auto" w:fill="FFFFFF"/>
      <w:lang w:val="pl-PL" w:eastAsia="pl-PL" w:bidi="pl-PL"/>
    </w:rPr>
  </w:style>
  <w:style w:type="character" w:styleId="Odwoanieprzypisudolnego">
    <w:name w:val="footnote reference"/>
    <w:basedOn w:val="Domylnaczcionkaakapitu"/>
    <w:uiPriority w:val="99"/>
    <w:unhideWhenUsed/>
    <w:rPr>
      <w:vertAlign w:val="superscript"/>
    </w:rPr>
  </w:style>
  <w:style w:type="paragraph" w:styleId="Tekstprzypisudolnego">
    <w:name w:val="footnote text"/>
    <w:basedOn w:val="Normalny"/>
    <w:link w:val="TekstprzypisudolnegoZnak"/>
    <w:uiPriority w:val="99"/>
    <w:semiHidden/>
    <w:unhideWhenUse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Pr>
      <w:sz w:val="20"/>
      <w:szCs w:val="20"/>
    </w:rPr>
  </w:style>
  <w:style w:type="paragraph" w:styleId="Nagwek">
    <w:name w:val="header"/>
    <w:basedOn w:val="Normalny"/>
    <w:link w:val="NagwekZnak"/>
    <w:uiPriority w:val="99"/>
    <w:unhideWhenUsed/>
    <w:pPr>
      <w:tabs>
        <w:tab w:val="center" w:pos="4703"/>
        <w:tab w:val="right" w:pos="9406"/>
      </w:tabs>
      <w:spacing w:after="0" w:line="240" w:lineRule="auto"/>
    </w:pPr>
  </w:style>
  <w:style w:type="character" w:customStyle="1" w:styleId="NagwekZnak">
    <w:name w:val="Nagłówek Znak"/>
    <w:basedOn w:val="Domylnaczcionkaakapitu"/>
    <w:link w:val="Nagwek"/>
    <w:uiPriority w:val="99"/>
  </w:style>
  <w:style w:type="paragraph" w:styleId="Stopka0">
    <w:name w:val="footer"/>
    <w:basedOn w:val="Normalny"/>
    <w:link w:val="StopkaZnak"/>
    <w:uiPriority w:val="99"/>
    <w:unhideWhenUsed/>
    <w:pPr>
      <w:tabs>
        <w:tab w:val="center" w:pos="4703"/>
        <w:tab w:val="right" w:pos="9406"/>
      </w:tabs>
      <w:spacing w:after="0" w:line="240" w:lineRule="auto"/>
    </w:pPr>
  </w:style>
  <w:style w:type="character" w:customStyle="1" w:styleId="StopkaZnak">
    <w:name w:val="Stopka Znak"/>
    <w:basedOn w:val="Domylnaczcionkaakapitu"/>
    <w:link w:val="Stopka0"/>
    <w:uiPriority w:val="99"/>
  </w:style>
  <w:style w:type="character" w:customStyle="1" w:styleId="kamksourcing">
    <w:name w:val="kamksourcing"/>
    <w:basedOn w:val="Domylnaczcionkaakapitu"/>
  </w:style>
  <w:style w:type="character" w:customStyle="1" w:styleId="alexdisplayxslblock">
    <w:name w:val="alexdisplayxslblock"/>
    <w:basedOn w:val="Domylnaczcionkaakapitu"/>
  </w:style>
  <w:style w:type="character" w:customStyle="1" w:styleId="alexdisplayxslmarker">
    <w:name w:val="alexdisplayxslmarker"/>
    <w:basedOn w:val="Domylnaczcionkaakapitu"/>
  </w:style>
  <w:style w:type="character" w:customStyle="1" w:styleId="kamklocator">
    <w:name w:val="kamklocator"/>
    <w:basedOn w:val="Domylnaczcionkaakapitu"/>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lang w:val="pl-PL"/>
    </w:rPr>
  </w:style>
  <w:style w:type="paragraph" w:styleId="NormalnyWeb">
    <w:name w:val="Normal (Web)"/>
    <w:basedOn w:val="Normalny"/>
    <w:uiPriority w:val="99"/>
    <w:semiHidden/>
    <w:unhideWhenUsed/>
    <w:pPr>
      <w:spacing w:before="100" w:beforeAutospacing="1" w:after="100" w:afterAutospacing="1" w:line="240" w:lineRule="auto"/>
    </w:pPr>
    <w:rPr>
      <w:rFonts w:ascii="Times New Roman" w:eastAsiaTheme="minorEastAsia" w:hAnsi="Times New Roman" w:cs="Times New Roman"/>
      <w:sz w:val="24"/>
      <w:szCs w:val="24"/>
      <w:lang w:val="pl-PL" w:eastAsia="pl-PL"/>
    </w:rPr>
  </w:style>
  <w:style w:type="character" w:customStyle="1" w:styleId="Nagwek1Znak">
    <w:name w:val="Nagłówek 1 Znak"/>
    <w:basedOn w:val="Domylnaczcionkaakapitu"/>
    <w:link w:val="Nagwek1"/>
    <w:uiPriority w:val="9"/>
    <w:rPr>
      <w:rFonts w:asciiTheme="majorHAnsi" w:eastAsiaTheme="majorEastAsia" w:hAnsiTheme="majorHAnsi" w:cstheme="majorBidi"/>
      <w:b/>
      <w:bCs/>
      <w:color w:val="2F5496" w:themeColor="accent1" w:themeShade="BF"/>
      <w:sz w:val="28"/>
      <w:szCs w:val="28"/>
    </w:rPr>
  </w:style>
  <w:style w:type="character" w:styleId="UyteHipercze">
    <w:name w:val="FollowedHyperlink"/>
    <w:basedOn w:val="Domylnaczcionkaakapitu"/>
    <w:uiPriority w:val="99"/>
    <w:semiHidden/>
    <w:unhideWhenUsed/>
    <w:rPr>
      <w:color w:val="954F72" w:themeColor="followedHyperlink"/>
      <w:u w:val="single"/>
    </w:rPr>
  </w:style>
  <w:style w:type="character" w:customStyle="1" w:styleId="Nierozpoznanawzmianka2">
    <w:name w:val="Nierozpoznana wzmianka2"/>
    <w:basedOn w:val="Domylnaczcionkaakapitu"/>
    <w:uiPriority w:val="99"/>
    <w:semiHidden/>
    <w:unhideWhenUsed/>
    <w:rPr>
      <w:color w:val="605E5C"/>
      <w:shd w:val="clear" w:color="auto" w:fill="E1DFDD"/>
    </w:rPr>
  </w:style>
  <w:style w:type="paragraph" w:styleId="Tekstpodstawowy">
    <w:name w:val="Body Text"/>
    <w:basedOn w:val="Normalny"/>
    <w:link w:val="TekstpodstawowyZnak"/>
    <w:uiPriority w:val="1"/>
    <w:qFormat/>
    <w:pPr>
      <w:widowControl w:val="0"/>
      <w:autoSpaceDE w:val="0"/>
      <w:autoSpaceDN w:val="0"/>
      <w:spacing w:after="0" w:line="240" w:lineRule="auto"/>
    </w:pPr>
    <w:rPr>
      <w:rFonts w:ascii="Times New Roman" w:eastAsia="Times New Roman" w:hAnsi="Times New Roman" w:cs="Times New Roman"/>
      <w:lang w:val="pl-PL" w:eastAsia="pl-PL" w:bidi="pl-PL"/>
    </w:rPr>
  </w:style>
  <w:style w:type="character" w:customStyle="1" w:styleId="TekstpodstawowyZnak">
    <w:name w:val="Tekst podstawowy Znak"/>
    <w:basedOn w:val="Domylnaczcionkaakapitu"/>
    <w:link w:val="Tekstpodstawowy"/>
    <w:uiPriority w:val="1"/>
    <w:rPr>
      <w:rFonts w:ascii="Times New Roman" w:eastAsia="Times New Roman" w:hAnsi="Times New Roman" w:cs="Times New Roman"/>
      <w:lang w:val="pl-PL" w:eastAsia="pl-PL" w:bidi="pl-PL"/>
    </w:rPr>
  </w:style>
  <w:style w:type="character" w:customStyle="1" w:styleId="AkapitzlistZnak">
    <w:name w:val="Akapit z listą Znak"/>
    <w:aliases w:val="lp1 Znak,Preambuła Znak,Tytuły Znak,K2 lista alfabetyczna Znak,Akapit z listą 1 Znak,Numerowanie Znak,Kolorowa lista — akcent 11 Znak,Akapit z listą BS Znak,normalny tekst Znak,Nagłowek 3 Znak,Podsis rysunku Znak,Bullet Number Znak"/>
    <w:link w:val="Akapitzlist"/>
    <w:uiPriority w:val="34"/>
    <w:qFormat/>
    <w:locked/>
  </w:style>
  <w:style w:type="paragraph" w:styleId="Poprawka">
    <w:name w:val="Revision"/>
    <w:hidden/>
    <w:uiPriority w:val="99"/>
    <w:semiHidden/>
    <w:pPr>
      <w:spacing w:after="0" w:line="240" w:lineRule="auto"/>
    </w:pPr>
  </w:style>
  <w:style w:type="character" w:styleId="Nierozpoznanawzmianka">
    <w:name w:val="Unresolved Mention"/>
    <w:basedOn w:val="Domylnaczcionkaakapitu"/>
    <w:uiPriority w:val="99"/>
    <w:semiHidden/>
    <w:unhideWhenUsed/>
    <w:rPr>
      <w:color w:val="605E5C"/>
      <w:shd w:val="clear" w:color="auto" w:fill="E1DFDD"/>
    </w:rPr>
  </w:style>
  <w:style w:type="paragraph" w:styleId="Bezodstpw">
    <w:name w:val="No Spacing"/>
    <w:aliases w:val="Punkty"/>
    <w:uiPriority w:val="1"/>
    <w:qFormat/>
    <w:pPr>
      <w:numPr>
        <w:numId w:val="20"/>
      </w:numPr>
      <w:spacing w:before="120" w:after="120" w:line="276" w:lineRule="auto"/>
      <w:jc w:val="both"/>
    </w:pPr>
    <w:rPr>
      <w:rFonts w:ascii="Arial" w:hAnsi="Arial"/>
      <w:sz w:val="24"/>
      <w:lang w:val="pl-PL"/>
    </w:rPr>
  </w:style>
  <w:style w:type="paragraph" w:styleId="Tekstprzypisukocowego">
    <w:name w:val="endnote text"/>
    <w:basedOn w:val="Normalny"/>
    <w:link w:val="TekstprzypisukocowegoZnak"/>
    <w:uiPriority w:val="99"/>
    <w:semiHidden/>
    <w:unhideWhenUse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Pr>
      <w:sz w:val="20"/>
      <w:szCs w:val="20"/>
    </w:rPr>
  </w:style>
  <w:style w:type="character" w:styleId="Odwoanieprzypisukocowego">
    <w:name w:val="endnote reference"/>
    <w:basedOn w:val="Domylnaczcionkaakapitu"/>
    <w:uiPriority w:val="99"/>
    <w:semiHidden/>
    <w:unhideWhenUsed/>
    <w:rPr>
      <w:vertAlign w:val="superscript"/>
    </w:rPr>
  </w:style>
  <w:style w:type="character" w:customStyle="1" w:styleId="Nagwek2Znak">
    <w:name w:val="Nagłówek 2 Znak"/>
    <w:basedOn w:val="Domylnaczcionkaakapitu"/>
    <w:link w:val="Nagwek2"/>
    <w:uiPriority w:val="9"/>
    <w:semiHidden/>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006452">
      <w:bodyDiv w:val="1"/>
      <w:marLeft w:val="0"/>
      <w:marRight w:val="0"/>
      <w:marTop w:val="0"/>
      <w:marBottom w:val="0"/>
      <w:divBdr>
        <w:top w:val="none" w:sz="0" w:space="0" w:color="auto"/>
        <w:left w:val="none" w:sz="0" w:space="0" w:color="auto"/>
        <w:bottom w:val="none" w:sz="0" w:space="0" w:color="auto"/>
        <w:right w:val="none" w:sz="0" w:space="0" w:color="auto"/>
      </w:divBdr>
      <w:divsChild>
        <w:div w:id="1005747993">
          <w:marLeft w:val="547"/>
          <w:marRight w:val="0"/>
          <w:marTop w:val="0"/>
          <w:marBottom w:val="0"/>
          <w:divBdr>
            <w:top w:val="none" w:sz="0" w:space="0" w:color="auto"/>
            <w:left w:val="none" w:sz="0" w:space="0" w:color="auto"/>
            <w:bottom w:val="none" w:sz="0" w:space="0" w:color="auto"/>
            <w:right w:val="none" w:sz="0" w:space="0" w:color="auto"/>
          </w:divBdr>
        </w:div>
      </w:divsChild>
    </w:div>
    <w:div w:id="371392633">
      <w:bodyDiv w:val="1"/>
      <w:marLeft w:val="0"/>
      <w:marRight w:val="0"/>
      <w:marTop w:val="0"/>
      <w:marBottom w:val="0"/>
      <w:divBdr>
        <w:top w:val="none" w:sz="0" w:space="0" w:color="auto"/>
        <w:left w:val="none" w:sz="0" w:space="0" w:color="auto"/>
        <w:bottom w:val="none" w:sz="0" w:space="0" w:color="auto"/>
        <w:right w:val="none" w:sz="0" w:space="0" w:color="auto"/>
      </w:divBdr>
      <w:divsChild>
        <w:div w:id="722682578">
          <w:marLeft w:val="144"/>
          <w:marRight w:val="0"/>
          <w:marTop w:val="260"/>
          <w:marBottom w:val="0"/>
          <w:divBdr>
            <w:top w:val="none" w:sz="0" w:space="0" w:color="auto"/>
            <w:left w:val="none" w:sz="0" w:space="0" w:color="auto"/>
            <w:bottom w:val="none" w:sz="0" w:space="0" w:color="auto"/>
            <w:right w:val="none" w:sz="0" w:space="0" w:color="auto"/>
          </w:divBdr>
        </w:div>
        <w:div w:id="874464571">
          <w:marLeft w:val="144"/>
          <w:marRight w:val="0"/>
          <w:marTop w:val="260"/>
          <w:marBottom w:val="0"/>
          <w:divBdr>
            <w:top w:val="none" w:sz="0" w:space="0" w:color="auto"/>
            <w:left w:val="none" w:sz="0" w:space="0" w:color="auto"/>
            <w:bottom w:val="none" w:sz="0" w:space="0" w:color="auto"/>
            <w:right w:val="none" w:sz="0" w:space="0" w:color="auto"/>
          </w:divBdr>
        </w:div>
        <w:div w:id="1125738615">
          <w:marLeft w:val="144"/>
          <w:marRight w:val="0"/>
          <w:marTop w:val="260"/>
          <w:marBottom w:val="0"/>
          <w:divBdr>
            <w:top w:val="none" w:sz="0" w:space="0" w:color="auto"/>
            <w:left w:val="none" w:sz="0" w:space="0" w:color="auto"/>
            <w:bottom w:val="none" w:sz="0" w:space="0" w:color="auto"/>
            <w:right w:val="none" w:sz="0" w:space="0" w:color="auto"/>
          </w:divBdr>
        </w:div>
        <w:div w:id="1616129998">
          <w:marLeft w:val="144"/>
          <w:marRight w:val="0"/>
          <w:marTop w:val="260"/>
          <w:marBottom w:val="0"/>
          <w:divBdr>
            <w:top w:val="none" w:sz="0" w:space="0" w:color="auto"/>
            <w:left w:val="none" w:sz="0" w:space="0" w:color="auto"/>
            <w:bottom w:val="none" w:sz="0" w:space="0" w:color="auto"/>
            <w:right w:val="none" w:sz="0" w:space="0" w:color="auto"/>
          </w:divBdr>
        </w:div>
        <w:div w:id="1825509101">
          <w:marLeft w:val="144"/>
          <w:marRight w:val="0"/>
          <w:marTop w:val="260"/>
          <w:marBottom w:val="0"/>
          <w:divBdr>
            <w:top w:val="none" w:sz="0" w:space="0" w:color="auto"/>
            <w:left w:val="none" w:sz="0" w:space="0" w:color="auto"/>
            <w:bottom w:val="none" w:sz="0" w:space="0" w:color="auto"/>
            <w:right w:val="none" w:sz="0" w:space="0" w:color="auto"/>
          </w:divBdr>
        </w:div>
        <w:div w:id="2097360912">
          <w:marLeft w:val="144"/>
          <w:marRight w:val="0"/>
          <w:marTop w:val="260"/>
          <w:marBottom w:val="0"/>
          <w:divBdr>
            <w:top w:val="none" w:sz="0" w:space="0" w:color="auto"/>
            <w:left w:val="none" w:sz="0" w:space="0" w:color="auto"/>
            <w:bottom w:val="none" w:sz="0" w:space="0" w:color="auto"/>
            <w:right w:val="none" w:sz="0" w:space="0" w:color="auto"/>
          </w:divBdr>
        </w:div>
      </w:divsChild>
    </w:div>
    <w:div w:id="485245207">
      <w:bodyDiv w:val="1"/>
      <w:marLeft w:val="0"/>
      <w:marRight w:val="0"/>
      <w:marTop w:val="0"/>
      <w:marBottom w:val="0"/>
      <w:divBdr>
        <w:top w:val="none" w:sz="0" w:space="0" w:color="auto"/>
        <w:left w:val="none" w:sz="0" w:space="0" w:color="auto"/>
        <w:bottom w:val="none" w:sz="0" w:space="0" w:color="auto"/>
        <w:right w:val="none" w:sz="0" w:space="0" w:color="auto"/>
      </w:divBdr>
      <w:divsChild>
        <w:div w:id="1778600212">
          <w:marLeft w:val="-225"/>
          <w:marRight w:val="-225"/>
          <w:marTop w:val="0"/>
          <w:marBottom w:val="0"/>
          <w:divBdr>
            <w:top w:val="none" w:sz="0" w:space="0" w:color="auto"/>
            <w:left w:val="none" w:sz="0" w:space="0" w:color="auto"/>
            <w:bottom w:val="none" w:sz="0" w:space="0" w:color="auto"/>
            <w:right w:val="none" w:sz="0" w:space="0" w:color="auto"/>
          </w:divBdr>
          <w:divsChild>
            <w:div w:id="609238960">
              <w:marLeft w:val="0"/>
              <w:marRight w:val="0"/>
              <w:marTop w:val="0"/>
              <w:marBottom w:val="0"/>
              <w:divBdr>
                <w:top w:val="none" w:sz="0" w:space="0" w:color="auto"/>
                <w:left w:val="none" w:sz="0" w:space="0" w:color="auto"/>
                <w:bottom w:val="none" w:sz="0" w:space="0" w:color="auto"/>
                <w:right w:val="none" w:sz="0" w:space="0" w:color="auto"/>
              </w:divBdr>
              <w:divsChild>
                <w:div w:id="689066744">
                  <w:marLeft w:val="0"/>
                  <w:marRight w:val="0"/>
                  <w:marTop w:val="0"/>
                  <w:marBottom w:val="0"/>
                  <w:divBdr>
                    <w:top w:val="none" w:sz="0" w:space="0" w:color="auto"/>
                    <w:left w:val="none" w:sz="0" w:space="0" w:color="auto"/>
                    <w:bottom w:val="none" w:sz="0" w:space="0" w:color="auto"/>
                    <w:right w:val="none" w:sz="0" w:space="0" w:color="auto"/>
                  </w:divBdr>
                  <w:divsChild>
                    <w:div w:id="429398079">
                      <w:marLeft w:val="0"/>
                      <w:marRight w:val="0"/>
                      <w:marTop w:val="0"/>
                      <w:marBottom w:val="0"/>
                      <w:divBdr>
                        <w:top w:val="none" w:sz="0" w:space="0" w:color="auto"/>
                        <w:left w:val="none" w:sz="0" w:space="0" w:color="auto"/>
                        <w:bottom w:val="none" w:sz="0" w:space="0" w:color="auto"/>
                        <w:right w:val="none" w:sz="0" w:space="0" w:color="auto"/>
                      </w:divBdr>
                      <w:divsChild>
                        <w:div w:id="856046967">
                          <w:marLeft w:val="0"/>
                          <w:marRight w:val="0"/>
                          <w:marTop w:val="0"/>
                          <w:marBottom w:val="0"/>
                          <w:divBdr>
                            <w:top w:val="none" w:sz="0" w:space="0" w:color="auto"/>
                            <w:left w:val="none" w:sz="0" w:space="0" w:color="auto"/>
                            <w:bottom w:val="none" w:sz="0" w:space="0" w:color="auto"/>
                            <w:right w:val="none" w:sz="0" w:space="0" w:color="auto"/>
                          </w:divBdr>
                          <w:divsChild>
                            <w:div w:id="1802113680">
                              <w:marLeft w:val="-225"/>
                              <w:marRight w:val="-225"/>
                              <w:marTop w:val="0"/>
                              <w:marBottom w:val="0"/>
                              <w:divBdr>
                                <w:top w:val="none" w:sz="0" w:space="0" w:color="auto"/>
                                <w:left w:val="none" w:sz="0" w:space="0" w:color="auto"/>
                                <w:bottom w:val="none" w:sz="0" w:space="0" w:color="auto"/>
                                <w:right w:val="none" w:sz="0" w:space="0" w:color="auto"/>
                              </w:divBdr>
                              <w:divsChild>
                                <w:div w:id="1995445782">
                                  <w:marLeft w:val="0"/>
                                  <w:marRight w:val="0"/>
                                  <w:marTop w:val="0"/>
                                  <w:marBottom w:val="0"/>
                                  <w:divBdr>
                                    <w:top w:val="none" w:sz="0" w:space="0" w:color="auto"/>
                                    <w:left w:val="none" w:sz="0" w:space="0" w:color="auto"/>
                                    <w:bottom w:val="none" w:sz="0" w:space="0" w:color="auto"/>
                                    <w:right w:val="none" w:sz="0" w:space="0" w:color="auto"/>
                                  </w:divBdr>
                                  <w:divsChild>
                                    <w:div w:id="1012954223">
                                      <w:marLeft w:val="0"/>
                                      <w:marRight w:val="0"/>
                                      <w:marTop w:val="0"/>
                                      <w:marBottom w:val="0"/>
                                      <w:divBdr>
                                        <w:top w:val="none" w:sz="0" w:space="0" w:color="auto"/>
                                        <w:left w:val="none" w:sz="0" w:space="0" w:color="auto"/>
                                        <w:bottom w:val="none" w:sz="0" w:space="0" w:color="auto"/>
                                        <w:right w:val="none" w:sz="0" w:space="0" w:color="auto"/>
                                      </w:divBdr>
                                      <w:divsChild>
                                        <w:div w:id="1446659789">
                                          <w:marLeft w:val="0"/>
                                          <w:marRight w:val="0"/>
                                          <w:marTop w:val="0"/>
                                          <w:marBottom w:val="0"/>
                                          <w:divBdr>
                                            <w:top w:val="none" w:sz="0" w:space="0" w:color="auto"/>
                                            <w:left w:val="none" w:sz="0" w:space="0" w:color="auto"/>
                                            <w:bottom w:val="none" w:sz="0" w:space="0" w:color="auto"/>
                                            <w:right w:val="none" w:sz="0" w:space="0" w:color="auto"/>
                                          </w:divBdr>
                                          <w:divsChild>
                                            <w:div w:id="1867014700">
                                              <w:marLeft w:val="0"/>
                                              <w:marRight w:val="0"/>
                                              <w:marTop w:val="0"/>
                                              <w:marBottom w:val="0"/>
                                              <w:divBdr>
                                                <w:top w:val="none" w:sz="0" w:space="0" w:color="auto"/>
                                                <w:left w:val="none" w:sz="0" w:space="0" w:color="auto"/>
                                                <w:bottom w:val="none" w:sz="0" w:space="0" w:color="auto"/>
                                                <w:right w:val="none" w:sz="0" w:space="0" w:color="auto"/>
                                              </w:divBdr>
                                              <w:divsChild>
                                                <w:div w:id="1489783306">
                                                  <w:marLeft w:val="0"/>
                                                  <w:marRight w:val="0"/>
                                                  <w:marTop w:val="0"/>
                                                  <w:marBottom w:val="0"/>
                                                  <w:divBdr>
                                                    <w:top w:val="none" w:sz="0" w:space="0" w:color="auto"/>
                                                    <w:left w:val="none" w:sz="0" w:space="0" w:color="auto"/>
                                                    <w:bottom w:val="none" w:sz="0" w:space="0" w:color="auto"/>
                                                    <w:right w:val="none" w:sz="0" w:space="0" w:color="auto"/>
                                                  </w:divBdr>
                                                  <w:divsChild>
                                                    <w:div w:id="145099419">
                                                      <w:marLeft w:val="0"/>
                                                      <w:marRight w:val="0"/>
                                                      <w:marTop w:val="0"/>
                                                      <w:marBottom w:val="0"/>
                                                      <w:divBdr>
                                                        <w:top w:val="none" w:sz="0" w:space="0" w:color="auto"/>
                                                        <w:left w:val="none" w:sz="0" w:space="0" w:color="auto"/>
                                                        <w:bottom w:val="none" w:sz="0" w:space="0" w:color="auto"/>
                                                        <w:right w:val="none" w:sz="0" w:space="0" w:color="auto"/>
                                                      </w:divBdr>
                                                      <w:divsChild>
                                                        <w:div w:id="188698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97426985">
      <w:bodyDiv w:val="1"/>
      <w:marLeft w:val="0"/>
      <w:marRight w:val="0"/>
      <w:marTop w:val="0"/>
      <w:marBottom w:val="0"/>
      <w:divBdr>
        <w:top w:val="none" w:sz="0" w:space="0" w:color="auto"/>
        <w:left w:val="none" w:sz="0" w:space="0" w:color="auto"/>
        <w:bottom w:val="none" w:sz="0" w:space="0" w:color="auto"/>
        <w:right w:val="none" w:sz="0" w:space="0" w:color="auto"/>
      </w:divBdr>
      <w:divsChild>
        <w:div w:id="610818105">
          <w:marLeft w:val="547"/>
          <w:marRight w:val="0"/>
          <w:marTop w:val="0"/>
          <w:marBottom w:val="0"/>
          <w:divBdr>
            <w:top w:val="none" w:sz="0" w:space="0" w:color="auto"/>
            <w:left w:val="none" w:sz="0" w:space="0" w:color="auto"/>
            <w:bottom w:val="none" w:sz="0" w:space="0" w:color="auto"/>
            <w:right w:val="none" w:sz="0" w:space="0" w:color="auto"/>
          </w:divBdr>
        </w:div>
      </w:divsChild>
    </w:div>
    <w:div w:id="708380819">
      <w:bodyDiv w:val="1"/>
      <w:marLeft w:val="0"/>
      <w:marRight w:val="0"/>
      <w:marTop w:val="0"/>
      <w:marBottom w:val="0"/>
      <w:divBdr>
        <w:top w:val="none" w:sz="0" w:space="0" w:color="auto"/>
        <w:left w:val="none" w:sz="0" w:space="0" w:color="auto"/>
        <w:bottom w:val="none" w:sz="0" w:space="0" w:color="auto"/>
        <w:right w:val="none" w:sz="0" w:space="0" w:color="auto"/>
      </w:divBdr>
    </w:div>
    <w:div w:id="861626205">
      <w:bodyDiv w:val="1"/>
      <w:marLeft w:val="0"/>
      <w:marRight w:val="0"/>
      <w:marTop w:val="0"/>
      <w:marBottom w:val="0"/>
      <w:divBdr>
        <w:top w:val="none" w:sz="0" w:space="0" w:color="auto"/>
        <w:left w:val="none" w:sz="0" w:space="0" w:color="auto"/>
        <w:bottom w:val="none" w:sz="0" w:space="0" w:color="auto"/>
        <w:right w:val="none" w:sz="0" w:space="0" w:color="auto"/>
      </w:divBdr>
    </w:div>
    <w:div w:id="861745743">
      <w:bodyDiv w:val="1"/>
      <w:marLeft w:val="0"/>
      <w:marRight w:val="0"/>
      <w:marTop w:val="0"/>
      <w:marBottom w:val="0"/>
      <w:divBdr>
        <w:top w:val="none" w:sz="0" w:space="0" w:color="auto"/>
        <w:left w:val="none" w:sz="0" w:space="0" w:color="auto"/>
        <w:bottom w:val="none" w:sz="0" w:space="0" w:color="auto"/>
        <w:right w:val="none" w:sz="0" w:space="0" w:color="auto"/>
      </w:divBdr>
      <w:divsChild>
        <w:div w:id="1453358207">
          <w:marLeft w:val="-225"/>
          <w:marRight w:val="-225"/>
          <w:marTop w:val="0"/>
          <w:marBottom w:val="0"/>
          <w:divBdr>
            <w:top w:val="none" w:sz="0" w:space="0" w:color="auto"/>
            <w:left w:val="none" w:sz="0" w:space="0" w:color="auto"/>
            <w:bottom w:val="none" w:sz="0" w:space="0" w:color="auto"/>
            <w:right w:val="none" w:sz="0" w:space="0" w:color="auto"/>
          </w:divBdr>
          <w:divsChild>
            <w:div w:id="41909436">
              <w:marLeft w:val="0"/>
              <w:marRight w:val="0"/>
              <w:marTop w:val="0"/>
              <w:marBottom w:val="0"/>
              <w:divBdr>
                <w:top w:val="none" w:sz="0" w:space="0" w:color="auto"/>
                <w:left w:val="none" w:sz="0" w:space="0" w:color="auto"/>
                <w:bottom w:val="none" w:sz="0" w:space="0" w:color="auto"/>
                <w:right w:val="none" w:sz="0" w:space="0" w:color="auto"/>
              </w:divBdr>
              <w:divsChild>
                <w:div w:id="1178497159">
                  <w:marLeft w:val="0"/>
                  <w:marRight w:val="0"/>
                  <w:marTop w:val="0"/>
                  <w:marBottom w:val="0"/>
                  <w:divBdr>
                    <w:top w:val="none" w:sz="0" w:space="0" w:color="auto"/>
                    <w:left w:val="none" w:sz="0" w:space="0" w:color="auto"/>
                    <w:bottom w:val="none" w:sz="0" w:space="0" w:color="auto"/>
                    <w:right w:val="none" w:sz="0" w:space="0" w:color="auto"/>
                  </w:divBdr>
                  <w:divsChild>
                    <w:div w:id="435492047">
                      <w:marLeft w:val="0"/>
                      <w:marRight w:val="0"/>
                      <w:marTop w:val="0"/>
                      <w:marBottom w:val="0"/>
                      <w:divBdr>
                        <w:top w:val="none" w:sz="0" w:space="0" w:color="auto"/>
                        <w:left w:val="none" w:sz="0" w:space="0" w:color="auto"/>
                        <w:bottom w:val="none" w:sz="0" w:space="0" w:color="auto"/>
                        <w:right w:val="none" w:sz="0" w:space="0" w:color="auto"/>
                      </w:divBdr>
                      <w:divsChild>
                        <w:div w:id="1174226336">
                          <w:marLeft w:val="0"/>
                          <w:marRight w:val="0"/>
                          <w:marTop w:val="0"/>
                          <w:marBottom w:val="0"/>
                          <w:divBdr>
                            <w:top w:val="none" w:sz="0" w:space="0" w:color="auto"/>
                            <w:left w:val="none" w:sz="0" w:space="0" w:color="auto"/>
                            <w:bottom w:val="none" w:sz="0" w:space="0" w:color="auto"/>
                            <w:right w:val="none" w:sz="0" w:space="0" w:color="auto"/>
                          </w:divBdr>
                          <w:divsChild>
                            <w:div w:id="369693919">
                              <w:marLeft w:val="-225"/>
                              <w:marRight w:val="-225"/>
                              <w:marTop w:val="0"/>
                              <w:marBottom w:val="0"/>
                              <w:divBdr>
                                <w:top w:val="none" w:sz="0" w:space="0" w:color="auto"/>
                                <w:left w:val="none" w:sz="0" w:space="0" w:color="auto"/>
                                <w:bottom w:val="none" w:sz="0" w:space="0" w:color="auto"/>
                                <w:right w:val="none" w:sz="0" w:space="0" w:color="auto"/>
                              </w:divBdr>
                              <w:divsChild>
                                <w:div w:id="387650218">
                                  <w:marLeft w:val="0"/>
                                  <w:marRight w:val="0"/>
                                  <w:marTop w:val="0"/>
                                  <w:marBottom w:val="0"/>
                                  <w:divBdr>
                                    <w:top w:val="none" w:sz="0" w:space="0" w:color="auto"/>
                                    <w:left w:val="none" w:sz="0" w:space="0" w:color="auto"/>
                                    <w:bottom w:val="none" w:sz="0" w:space="0" w:color="auto"/>
                                    <w:right w:val="none" w:sz="0" w:space="0" w:color="auto"/>
                                  </w:divBdr>
                                  <w:divsChild>
                                    <w:div w:id="975529381">
                                      <w:marLeft w:val="0"/>
                                      <w:marRight w:val="0"/>
                                      <w:marTop w:val="0"/>
                                      <w:marBottom w:val="0"/>
                                      <w:divBdr>
                                        <w:top w:val="none" w:sz="0" w:space="0" w:color="auto"/>
                                        <w:left w:val="none" w:sz="0" w:space="0" w:color="auto"/>
                                        <w:bottom w:val="none" w:sz="0" w:space="0" w:color="auto"/>
                                        <w:right w:val="none" w:sz="0" w:space="0" w:color="auto"/>
                                      </w:divBdr>
                                      <w:divsChild>
                                        <w:div w:id="1862091135">
                                          <w:marLeft w:val="0"/>
                                          <w:marRight w:val="0"/>
                                          <w:marTop w:val="0"/>
                                          <w:marBottom w:val="0"/>
                                          <w:divBdr>
                                            <w:top w:val="none" w:sz="0" w:space="0" w:color="auto"/>
                                            <w:left w:val="none" w:sz="0" w:space="0" w:color="auto"/>
                                            <w:bottom w:val="none" w:sz="0" w:space="0" w:color="auto"/>
                                            <w:right w:val="none" w:sz="0" w:space="0" w:color="auto"/>
                                          </w:divBdr>
                                          <w:divsChild>
                                            <w:div w:id="234750549">
                                              <w:marLeft w:val="0"/>
                                              <w:marRight w:val="0"/>
                                              <w:marTop w:val="0"/>
                                              <w:marBottom w:val="0"/>
                                              <w:divBdr>
                                                <w:top w:val="none" w:sz="0" w:space="0" w:color="auto"/>
                                                <w:left w:val="none" w:sz="0" w:space="0" w:color="auto"/>
                                                <w:bottom w:val="none" w:sz="0" w:space="0" w:color="auto"/>
                                                <w:right w:val="none" w:sz="0" w:space="0" w:color="auto"/>
                                              </w:divBdr>
                                              <w:divsChild>
                                                <w:div w:id="447091694">
                                                  <w:marLeft w:val="0"/>
                                                  <w:marRight w:val="0"/>
                                                  <w:marTop w:val="0"/>
                                                  <w:marBottom w:val="0"/>
                                                  <w:divBdr>
                                                    <w:top w:val="none" w:sz="0" w:space="0" w:color="auto"/>
                                                    <w:left w:val="none" w:sz="0" w:space="0" w:color="auto"/>
                                                    <w:bottom w:val="none" w:sz="0" w:space="0" w:color="auto"/>
                                                    <w:right w:val="none" w:sz="0" w:space="0" w:color="auto"/>
                                                  </w:divBdr>
                                                  <w:divsChild>
                                                    <w:div w:id="989677258">
                                                      <w:marLeft w:val="0"/>
                                                      <w:marRight w:val="0"/>
                                                      <w:marTop w:val="0"/>
                                                      <w:marBottom w:val="0"/>
                                                      <w:divBdr>
                                                        <w:top w:val="none" w:sz="0" w:space="0" w:color="auto"/>
                                                        <w:left w:val="none" w:sz="0" w:space="0" w:color="auto"/>
                                                        <w:bottom w:val="none" w:sz="0" w:space="0" w:color="auto"/>
                                                        <w:right w:val="none" w:sz="0" w:space="0" w:color="auto"/>
                                                      </w:divBdr>
                                                      <w:divsChild>
                                                        <w:div w:id="854003287">
                                                          <w:marLeft w:val="0"/>
                                                          <w:marRight w:val="0"/>
                                                          <w:marTop w:val="0"/>
                                                          <w:marBottom w:val="0"/>
                                                          <w:divBdr>
                                                            <w:top w:val="none" w:sz="0" w:space="0" w:color="auto"/>
                                                            <w:left w:val="none" w:sz="0" w:space="0" w:color="auto"/>
                                                            <w:bottom w:val="none" w:sz="0" w:space="0" w:color="auto"/>
                                                            <w:right w:val="none" w:sz="0" w:space="0" w:color="auto"/>
                                                          </w:divBdr>
                                                          <w:divsChild>
                                                            <w:div w:id="563218201">
                                                              <w:marLeft w:val="0"/>
                                                              <w:marRight w:val="0"/>
                                                              <w:marTop w:val="0"/>
                                                              <w:marBottom w:val="0"/>
                                                              <w:divBdr>
                                                                <w:top w:val="none" w:sz="0" w:space="0" w:color="auto"/>
                                                                <w:left w:val="none" w:sz="0" w:space="0" w:color="auto"/>
                                                                <w:bottom w:val="none" w:sz="0" w:space="0" w:color="auto"/>
                                                                <w:right w:val="none" w:sz="0" w:space="0" w:color="auto"/>
                                                              </w:divBdr>
                                                            </w:div>
                                                            <w:div w:id="1142648866">
                                                              <w:marLeft w:val="0"/>
                                                              <w:marRight w:val="0"/>
                                                              <w:marTop w:val="0"/>
                                                              <w:marBottom w:val="0"/>
                                                              <w:divBdr>
                                                                <w:top w:val="none" w:sz="0" w:space="0" w:color="auto"/>
                                                                <w:left w:val="none" w:sz="0" w:space="0" w:color="auto"/>
                                                                <w:bottom w:val="none" w:sz="0" w:space="0" w:color="auto"/>
                                                                <w:right w:val="none" w:sz="0" w:space="0" w:color="auto"/>
                                                              </w:divBdr>
                                                            </w:div>
                                                            <w:div w:id="1348866145">
                                                              <w:marLeft w:val="0"/>
                                                              <w:marRight w:val="0"/>
                                                              <w:marTop w:val="0"/>
                                                              <w:marBottom w:val="0"/>
                                                              <w:divBdr>
                                                                <w:top w:val="none" w:sz="0" w:space="0" w:color="auto"/>
                                                                <w:left w:val="none" w:sz="0" w:space="0" w:color="auto"/>
                                                                <w:bottom w:val="none" w:sz="0" w:space="0" w:color="auto"/>
                                                                <w:right w:val="none" w:sz="0" w:space="0" w:color="auto"/>
                                                              </w:divBdr>
                                                            </w:div>
                                                            <w:div w:id="1530727948">
                                                              <w:marLeft w:val="0"/>
                                                              <w:marRight w:val="0"/>
                                                              <w:marTop w:val="0"/>
                                                              <w:marBottom w:val="0"/>
                                                              <w:divBdr>
                                                                <w:top w:val="none" w:sz="0" w:space="0" w:color="auto"/>
                                                                <w:left w:val="none" w:sz="0" w:space="0" w:color="auto"/>
                                                                <w:bottom w:val="none" w:sz="0" w:space="0" w:color="auto"/>
                                                                <w:right w:val="none" w:sz="0" w:space="0" w:color="auto"/>
                                                              </w:divBdr>
                                                            </w:div>
                                                            <w:div w:id="1632981193">
                                                              <w:marLeft w:val="0"/>
                                                              <w:marRight w:val="0"/>
                                                              <w:marTop w:val="0"/>
                                                              <w:marBottom w:val="0"/>
                                                              <w:divBdr>
                                                                <w:top w:val="none" w:sz="0" w:space="0" w:color="auto"/>
                                                                <w:left w:val="none" w:sz="0" w:space="0" w:color="auto"/>
                                                                <w:bottom w:val="none" w:sz="0" w:space="0" w:color="auto"/>
                                                                <w:right w:val="none" w:sz="0" w:space="0" w:color="auto"/>
                                                              </w:divBdr>
                                                            </w:div>
                                                            <w:div w:id="2017999785">
                                                              <w:marLeft w:val="0"/>
                                                              <w:marRight w:val="0"/>
                                                              <w:marTop w:val="0"/>
                                                              <w:marBottom w:val="0"/>
                                                              <w:divBdr>
                                                                <w:top w:val="none" w:sz="0" w:space="0" w:color="auto"/>
                                                                <w:left w:val="none" w:sz="0" w:space="0" w:color="auto"/>
                                                                <w:bottom w:val="none" w:sz="0" w:space="0" w:color="auto"/>
                                                                <w:right w:val="none" w:sz="0" w:space="0" w:color="auto"/>
                                                              </w:divBdr>
                                                            </w:div>
                                                          </w:divsChild>
                                                        </w:div>
                                                        <w:div w:id="106294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24441753">
      <w:bodyDiv w:val="1"/>
      <w:marLeft w:val="0"/>
      <w:marRight w:val="0"/>
      <w:marTop w:val="0"/>
      <w:marBottom w:val="0"/>
      <w:divBdr>
        <w:top w:val="none" w:sz="0" w:space="0" w:color="auto"/>
        <w:left w:val="none" w:sz="0" w:space="0" w:color="auto"/>
        <w:bottom w:val="none" w:sz="0" w:space="0" w:color="auto"/>
        <w:right w:val="none" w:sz="0" w:space="0" w:color="auto"/>
      </w:divBdr>
      <w:divsChild>
        <w:div w:id="1847553013">
          <w:marLeft w:val="-225"/>
          <w:marRight w:val="-225"/>
          <w:marTop w:val="0"/>
          <w:marBottom w:val="0"/>
          <w:divBdr>
            <w:top w:val="none" w:sz="0" w:space="0" w:color="auto"/>
            <w:left w:val="none" w:sz="0" w:space="0" w:color="auto"/>
            <w:bottom w:val="none" w:sz="0" w:space="0" w:color="auto"/>
            <w:right w:val="none" w:sz="0" w:space="0" w:color="auto"/>
          </w:divBdr>
          <w:divsChild>
            <w:div w:id="1527451348">
              <w:marLeft w:val="0"/>
              <w:marRight w:val="0"/>
              <w:marTop w:val="0"/>
              <w:marBottom w:val="0"/>
              <w:divBdr>
                <w:top w:val="none" w:sz="0" w:space="0" w:color="auto"/>
                <w:left w:val="none" w:sz="0" w:space="0" w:color="auto"/>
                <w:bottom w:val="none" w:sz="0" w:space="0" w:color="auto"/>
                <w:right w:val="none" w:sz="0" w:space="0" w:color="auto"/>
              </w:divBdr>
              <w:divsChild>
                <w:div w:id="1271663152">
                  <w:marLeft w:val="0"/>
                  <w:marRight w:val="0"/>
                  <w:marTop w:val="0"/>
                  <w:marBottom w:val="0"/>
                  <w:divBdr>
                    <w:top w:val="none" w:sz="0" w:space="0" w:color="auto"/>
                    <w:left w:val="none" w:sz="0" w:space="0" w:color="auto"/>
                    <w:bottom w:val="none" w:sz="0" w:space="0" w:color="auto"/>
                    <w:right w:val="none" w:sz="0" w:space="0" w:color="auto"/>
                  </w:divBdr>
                  <w:divsChild>
                    <w:div w:id="752623083">
                      <w:marLeft w:val="0"/>
                      <w:marRight w:val="0"/>
                      <w:marTop w:val="0"/>
                      <w:marBottom w:val="0"/>
                      <w:divBdr>
                        <w:top w:val="none" w:sz="0" w:space="0" w:color="auto"/>
                        <w:left w:val="none" w:sz="0" w:space="0" w:color="auto"/>
                        <w:bottom w:val="none" w:sz="0" w:space="0" w:color="auto"/>
                        <w:right w:val="none" w:sz="0" w:space="0" w:color="auto"/>
                      </w:divBdr>
                      <w:divsChild>
                        <w:div w:id="1846822688">
                          <w:marLeft w:val="0"/>
                          <w:marRight w:val="0"/>
                          <w:marTop w:val="0"/>
                          <w:marBottom w:val="0"/>
                          <w:divBdr>
                            <w:top w:val="none" w:sz="0" w:space="0" w:color="auto"/>
                            <w:left w:val="none" w:sz="0" w:space="0" w:color="auto"/>
                            <w:bottom w:val="none" w:sz="0" w:space="0" w:color="auto"/>
                            <w:right w:val="none" w:sz="0" w:space="0" w:color="auto"/>
                          </w:divBdr>
                          <w:divsChild>
                            <w:div w:id="63601212">
                              <w:marLeft w:val="-225"/>
                              <w:marRight w:val="-225"/>
                              <w:marTop w:val="0"/>
                              <w:marBottom w:val="0"/>
                              <w:divBdr>
                                <w:top w:val="none" w:sz="0" w:space="0" w:color="auto"/>
                                <w:left w:val="none" w:sz="0" w:space="0" w:color="auto"/>
                                <w:bottom w:val="none" w:sz="0" w:space="0" w:color="auto"/>
                                <w:right w:val="none" w:sz="0" w:space="0" w:color="auto"/>
                              </w:divBdr>
                              <w:divsChild>
                                <w:div w:id="611672231">
                                  <w:marLeft w:val="0"/>
                                  <w:marRight w:val="0"/>
                                  <w:marTop w:val="0"/>
                                  <w:marBottom w:val="0"/>
                                  <w:divBdr>
                                    <w:top w:val="none" w:sz="0" w:space="0" w:color="auto"/>
                                    <w:left w:val="none" w:sz="0" w:space="0" w:color="auto"/>
                                    <w:bottom w:val="none" w:sz="0" w:space="0" w:color="auto"/>
                                    <w:right w:val="none" w:sz="0" w:space="0" w:color="auto"/>
                                  </w:divBdr>
                                  <w:divsChild>
                                    <w:div w:id="1384793727">
                                      <w:marLeft w:val="0"/>
                                      <w:marRight w:val="0"/>
                                      <w:marTop w:val="0"/>
                                      <w:marBottom w:val="0"/>
                                      <w:divBdr>
                                        <w:top w:val="none" w:sz="0" w:space="0" w:color="auto"/>
                                        <w:left w:val="none" w:sz="0" w:space="0" w:color="auto"/>
                                        <w:bottom w:val="none" w:sz="0" w:space="0" w:color="auto"/>
                                        <w:right w:val="none" w:sz="0" w:space="0" w:color="auto"/>
                                      </w:divBdr>
                                      <w:divsChild>
                                        <w:div w:id="1942646547">
                                          <w:marLeft w:val="0"/>
                                          <w:marRight w:val="0"/>
                                          <w:marTop w:val="0"/>
                                          <w:marBottom w:val="0"/>
                                          <w:divBdr>
                                            <w:top w:val="none" w:sz="0" w:space="0" w:color="auto"/>
                                            <w:left w:val="none" w:sz="0" w:space="0" w:color="auto"/>
                                            <w:bottom w:val="none" w:sz="0" w:space="0" w:color="auto"/>
                                            <w:right w:val="none" w:sz="0" w:space="0" w:color="auto"/>
                                          </w:divBdr>
                                          <w:divsChild>
                                            <w:div w:id="1444420136">
                                              <w:marLeft w:val="0"/>
                                              <w:marRight w:val="0"/>
                                              <w:marTop w:val="0"/>
                                              <w:marBottom w:val="0"/>
                                              <w:divBdr>
                                                <w:top w:val="none" w:sz="0" w:space="0" w:color="auto"/>
                                                <w:left w:val="none" w:sz="0" w:space="0" w:color="auto"/>
                                                <w:bottom w:val="none" w:sz="0" w:space="0" w:color="auto"/>
                                                <w:right w:val="none" w:sz="0" w:space="0" w:color="auto"/>
                                              </w:divBdr>
                                              <w:divsChild>
                                                <w:div w:id="1492065955">
                                                  <w:marLeft w:val="0"/>
                                                  <w:marRight w:val="0"/>
                                                  <w:marTop w:val="0"/>
                                                  <w:marBottom w:val="0"/>
                                                  <w:divBdr>
                                                    <w:top w:val="none" w:sz="0" w:space="0" w:color="auto"/>
                                                    <w:left w:val="none" w:sz="0" w:space="0" w:color="auto"/>
                                                    <w:bottom w:val="none" w:sz="0" w:space="0" w:color="auto"/>
                                                    <w:right w:val="none" w:sz="0" w:space="0" w:color="auto"/>
                                                  </w:divBdr>
                                                  <w:divsChild>
                                                    <w:div w:id="682435011">
                                                      <w:marLeft w:val="0"/>
                                                      <w:marRight w:val="0"/>
                                                      <w:marTop w:val="0"/>
                                                      <w:marBottom w:val="0"/>
                                                      <w:divBdr>
                                                        <w:top w:val="none" w:sz="0" w:space="0" w:color="auto"/>
                                                        <w:left w:val="none" w:sz="0" w:space="0" w:color="auto"/>
                                                        <w:bottom w:val="none" w:sz="0" w:space="0" w:color="auto"/>
                                                        <w:right w:val="none" w:sz="0" w:space="0" w:color="auto"/>
                                                      </w:divBdr>
                                                      <w:divsChild>
                                                        <w:div w:id="1153133782">
                                                          <w:marLeft w:val="0"/>
                                                          <w:marRight w:val="0"/>
                                                          <w:marTop w:val="0"/>
                                                          <w:marBottom w:val="0"/>
                                                          <w:divBdr>
                                                            <w:top w:val="none" w:sz="0" w:space="0" w:color="auto"/>
                                                            <w:left w:val="none" w:sz="0" w:space="0" w:color="auto"/>
                                                            <w:bottom w:val="none" w:sz="0" w:space="0" w:color="auto"/>
                                                            <w:right w:val="none" w:sz="0" w:space="0" w:color="auto"/>
                                                          </w:divBdr>
                                                        </w:div>
                                                        <w:div w:id="181078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89942617">
      <w:bodyDiv w:val="1"/>
      <w:marLeft w:val="0"/>
      <w:marRight w:val="0"/>
      <w:marTop w:val="0"/>
      <w:marBottom w:val="0"/>
      <w:divBdr>
        <w:top w:val="none" w:sz="0" w:space="0" w:color="auto"/>
        <w:left w:val="none" w:sz="0" w:space="0" w:color="auto"/>
        <w:bottom w:val="none" w:sz="0" w:space="0" w:color="auto"/>
        <w:right w:val="none" w:sz="0" w:space="0" w:color="auto"/>
      </w:divBdr>
    </w:div>
    <w:div w:id="1832477822">
      <w:bodyDiv w:val="1"/>
      <w:marLeft w:val="0"/>
      <w:marRight w:val="0"/>
      <w:marTop w:val="0"/>
      <w:marBottom w:val="0"/>
      <w:divBdr>
        <w:top w:val="none" w:sz="0" w:space="0" w:color="auto"/>
        <w:left w:val="none" w:sz="0" w:space="0" w:color="auto"/>
        <w:bottom w:val="none" w:sz="0" w:space="0" w:color="auto"/>
        <w:right w:val="none" w:sz="0" w:space="0" w:color="auto"/>
      </w:divBdr>
    </w:div>
    <w:div w:id="1902405021">
      <w:bodyDiv w:val="1"/>
      <w:marLeft w:val="0"/>
      <w:marRight w:val="0"/>
      <w:marTop w:val="0"/>
      <w:marBottom w:val="0"/>
      <w:divBdr>
        <w:top w:val="none" w:sz="0" w:space="0" w:color="auto"/>
        <w:left w:val="none" w:sz="0" w:space="0" w:color="auto"/>
        <w:bottom w:val="none" w:sz="0" w:space="0" w:color="auto"/>
        <w:right w:val="none" w:sz="0" w:space="0" w:color="auto"/>
      </w:divBdr>
    </w:div>
    <w:div w:id="2020425235">
      <w:bodyDiv w:val="1"/>
      <w:marLeft w:val="0"/>
      <w:marRight w:val="0"/>
      <w:marTop w:val="0"/>
      <w:marBottom w:val="0"/>
      <w:divBdr>
        <w:top w:val="none" w:sz="0" w:space="0" w:color="auto"/>
        <w:left w:val="none" w:sz="0" w:space="0" w:color="auto"/>
        <w:bottom w:val="none" w:sz="0" w:space="0" w:color="auto"/>
        <w:right w:val="none" w:sz="0" w:space="0" w:color="auto"/>
      </w:divBdr>
      <w:divsChild>
        <w:div w:id="1443916694">
          <w:marLeft w:val="-225"/>
          <w:marRight w:val="-225"/>
          <w:marTop w:val="0"/>
          <w:marBottom w:val="0"/>
          <w:divBdr>
            <w:top w:val="none" w:sz="0" w:space="0" w:color="auto"/>
            <w:left w:val="none" w:sz="0" w:space="0" w:color="auto"/>
            <w:bottom w:val="none" w:sz="0" w:space="0" w:color="auto"/>
            <w:right w:val="none" w:sz="0" w:space="0" w:color="auto"/>
          </w:divBdr>
          <w:divsChild>
            <w:div w:id="538054362">
              <w:marLeft w:val="0"/>
              <w:marRight w:val="0"/>
              <w:marTop w:val="0"/>
              <w:marBottom w:val="0"/>
              <w:divBdr>
                <w:top w:val="none" w:sz="0" w:space="0" w:color="auto"/>
                <w:left w:val="none" w:sz="0" w:space="0" w:color="auto"/>
                <w:bottom w:val="none" w:sz="0" w:space="0" w:color="auto"/>
                <w:right w:val="none" w:sz="0" w:space="0" w:color="auto"/>
              </w:divBdr>
              <w:divsChild>
                <w:div w:id="1974022098">
                  <w:marLeft w:val="0"/>
                  <w:marRight w:val="0"/>
                  <w:marTop w:val="0"/>
                  <w:marBottom w:val="0"/>
                  <w:divBdr>
                    <w:top w:val="none" w:sz="0" w:space="0" w:color="auto"/>
                    <w:left w:val="none" w:sz="0" w:space="0" w:color="auto"/>
                    <w:bottom w:val="none" w:sz="0" w:space="0" w:color="auto"/>
                    <w:right w:val="none" w:sz="0" w:space="0" w:color="auto"/>
                  </w:divBdr>
                  <w:divsChild>
                    <w:div w:id="920336905">
                      <w:marLeft w:val="0"/>
                      <w:marRight w:val="0"/>
                      <w:marTop w:val="0"/>
                      <w:marBottom w:val="0"/>
                      <w:divBdr>
                        <w:top w:val="none" w:sz="0" w:space="0" w:color="auto"/>
                        <w:left w:val="none" w:sz="0" w:space="0" w:color="auto"/>
                        <w:bottom w:val="none" w:sz="0" w:space="0" w:color="auto"/>
                        <w:right w:val="none" w:sz="0" w:space="0" w:color="auto"/>
                      </w:divBdr>
                      <w:divsChild>
                        <w:div w:id="642196934">
                          <w:marLeft w:val="0"/>
                          <w:marRight w:val="0"/>
                          <w:marTop w:val="0"/>
                          <w:marBottom w:val="0"/>
                          <w:divBdr>
                            <w:top w:val="none" w:sz="0" w:space="0" w:color="auto"/>
                            <w:left w:val="none" w:sz="0" w:space="0" w:color="auto"/>
                            <w:bottom w:val="none" w:sz="0" w:space="0" w:color="auto"/>
                            <w:right w:val="none" w:sz="0" w:space="0" w:color="auto"/>
                          </w:divBdr>
                          <w:divsChild>
                            <w:div w:id="2068917626">
                              <w:marLeft w:val="-225"/>
                              <w:marRight w:val="-225"/>
                              <w:marTop w:val="0"/>
                              <w:marBottom w:val="0"/>
                              <w:divBdr>
                                <w:top w:val="none" w:sz="0" w:space="0" w:color="auto"/>
                                <w:left w:val="none" w:sz="0" w:space="0" w:color="auto"/>
                                <w:bottom w:val="none" w:sz="0" w:space="0" w:color="auto"/>
                                <w:right w:val="none" w:sz="0" w:space="0" w:color="auto"/>
                              </w:divBdr>
                              <w:divsChild>
                                <w:div w:id="36011367">
                                  <w:marLeft w:val="0"/>
                                  <w:marRight w:val="0"/>
                                  <w:marTop w:val="0"/>
                                  <w:marBottom w:val="0"/>
                                  <w:divBdr>
                                    <w:top w:val="none" w:sz="0" w:space="0" w:color="auto"/>
                                    <w:left w:val="none" w:sz="0" w:space="0" w:color="auto"/>
                                    <w:bottom w:val="none" w:sz="0" w:space="0" w:color="auto"/>
                                    <w:right w:val="none" w:sz="0" w:space="0" w:color="auto"/>
                                  </w:divBdr>
                                  <w:divsChild>
                                    <w:div w:id="194974891">
                                      <w:marLeft w:val="0"/>
                                      <w:marRight w:val="0"/>
                                      <w:marTop w:val="0"/>
                                      <w:marBottom w:val="0"/>
                                      <w:divBdr>
                                        <w:top w:val="none" w:sz="0" w:space="0" w:color="auto"/>
                                        <w:left w:val="none" w:sz="0" w:space="0" w:color="auto"/>
                                        <w:bottom w:val="none" w:sz="0" w:space="0" w:color="auto"/>
                                        <w:right w:val="none" w:sz="0" w:space="0" w:color="auto"/>
                                      </w:divBdr>
                                      <w:divsChild>
                                        <w:div w:id="509491224">
                                          <w:marLeft w:val="0"/>
                                          <w:marRight w:val="0"/>
                                          <w:marTop w:val="0"/>
                                          <w:marBottom w:val="0"/>
                                          <w:divBdr>
                                            <w:top w:val="none" w:sz="0" w:space="0" w:color="auto"/>
                                            <w:left w:val="none" w:sz="0" w:space="0" w:color="auto"/>
                                            <w:bottom w:val="none" w:sz="0" w:space="0" w:color="auto"/>
                                            <w:right w:val="none" w:sz="0" w:space="0" w:color="auto"/>
                                          </w:divBdr>
                                          <w:divsChild>
                                            <w:div w:id="1150635278">
                                              <w:marLeft w:val="0"/>
                                              <w:marRight w:val="0"/>
                                              <w:marTop w:val="0"/>
                                              <w:marBottom w:val="0"/>
                                              <w:divBdr>
                                                <w:top w:val="none" w:sz="0" w:space="0" w:color="auto"/>
                                                <w:left w:val="none" w:sz="0" w:space="0" w:color="auto"/>
                                                <w:bottom w:val="none" w:sz="0" w:space="0" w:color="auto"/>
                                                <w:right w:val="none" w:sz="0" w:space="0" w:color="auto"/>
                                              </w:divBdr>
                                              <w:divsChild>
                                                <w:div w:id="1771198929">
                                                  <w:marLeft w:val="0"/>
                                                  <w:marRight w:val="0"/>
                                                  <w:marTop w:val="0"/>
                                                  <w:marBottom w:val="0"/>
                                                  <w:divBdr>
                                                    <w:top w:val="none" w:sz="0" w:space="0" w:color="auto"/>
                                                    <w:left w:val="none" w:sz="0" w:space="0" w:color="auto"/>
                                                    <w:bottom w:val="none" w:sz="0" w:space="0" w:color="auto"/>
                                                    <w:right w:val="none" w:sz="0" w:space="0" w:color="auto"/>
                                                  </w:divBdr>
                                                  <w:divsChild>
                                                    <w:div w:id="36781115">
                                                      <w:marLeft w:val="0"/>
                                                      <w:marRight w:val="0"/>
                                                      <w:marTop w:val="0"/>
                                                      <w:marBottom w:val="0"/>
                                                      <w:divBdr>
                                                        <w:top w:val="none" w:sz="0" w:space="0" w:color="auto"/>
                                                        <w:left w:val="none" w:sz="0" w:space="0" w:color="auto"/>
                                                        <w:bottom w:val="none" w:sz="0" w:space="0" w:color="auto"/>
                                                        <w:right w:val="none" w:sz="0" w:space="0" w:color="auto"/>
                                                      </w:divBdr>
                                                    </w:div>
                                                    <w:div w:id="265162587">
                                                      <w:marLeft w:val="0"/>
                                                      <w:marRight w:val="0"/>
                                                      <w:marTop w:val="0"/>
                                                      <w:marBottom w:val="0"/>
                                                      <w:divBdr>
                                                        <w:top w:val="none" w:sz="0" w:space="0" w:color="auto"/>
                                                        <w:left w:val="none" w:sz="0" w:space="0" w:color="auto"/>
                                                        <w:bottom w:val="none" w:sz="0" w:space="0" w:color="auto"/>
                                                        <w:right w:val="none" w:sz="0" w:space="0" w:color="auto"/>
                                                      </w:divBdr>
                                                    </w:div>
                                                    <w:div w:id="345713338">
                                                      <w:marLeft w:val="0"/>
                                                      <w:marRight w:val="0"/>
                                                      <w:marTop w:val="0"/>
                                                      <w:marBottom w:val="0"/>
                                                      <w:divBdr>
                                                        <w:top w:val="none" w:sz="0" w:space="0" w:color="auto"/>
                                                        <w:left w:val="none" w:sz="0" w:space="0" w:color="auto"/>
                                                        <w:bottom w:val="none" w:sz="0" w:space="0" w:color="auto"/>
                                                        <w:right w:val="none" w:sz="0" w:space="0" w:color="auto"/>
                                                      </w:divBdr>
                                                    </w:div>
                                                    <w:div w:id="887061929">
                                                      <w:marLeft w:val="0"/>
                                                      <w:marRight w:val="0"/>
                                                      <w:marTop w:val="0"/>
                                                      <w:marBottom w:val="0"/>
                                                      <w:divBdr>
                                                        <w:top w:val="none" w:sz="0" w:space="0" w:color="auto"/>
                                                        <w:left w:val="none" w:sz="0" w:space="0" w:color="auto"/>
                                                        <w:bottom w:val="none" w:sz="0" w:space="0" w:color="auto"/>
                                                        <w:right w:val="none" w:sz="0" w:space="0" w:color="auto"/>
                                                      </w:divBdr>
                                                    </w:div>
                                                    <w:div w:id="912660847">
                                                      <w:marLeft w:val="0"/>
                                                      <w:marRight w:val="0"/>
                                                      <w:marTop w:val="0"/>
                                                      <w:marBottom w:val="0"/>
                                                      <w:divBdr>
                                                        <w:top w:val="none" w:sz="0" w:space="0" w:color="auto"/>
                                                        <w:left w:val="none" w:sz="0" w:space="0" w:color="auto"/>
                                                        <w:bottom w:val="none" w:sz="0" w:space="0" w:color="auto"/>
                                                        <w:right w:val="none" w:sz="0" w:space="0" w:color="auto"/>
                                                      </w:divBdr>
                                                    </w:div>
                                                    <w:div w:id="1036737462">
                                                      <w:marLeft w:val="0"/>
                                                      <w:marRight w:val="0"/>
                                                      <w:marTop w:val="0"/>
                                                      <w:marBottom w:val="0"/>
                                                      <w:divBdr>
                                                        <w:top w:val="none" w:sz="0" w:space="0" w:color="auto"/>
                                                        <w:left w:val="none" w:sz="0" w:space="0" w:color="auto"/>
                                                        <w:bottom w:val="none" w:sz="0" w:space="0" w:color="auto"/>
                                                        <w:right w:val="none" w:sz="0" w:space="0" w:color="auto"/>
                                                      </w:divBdr>
                                                    </w:div>
                                                    <w:div w:id="1121265926">
                                                      <w:marLeft w:val="0"/>
                                                      <w:marRight w:val="0"/>
                                                      <w:marTop w:val="0"/>
                                                      <w:marBottom w:val="0"/>
                                                      <w:divBdr>
                                                        <w:top w:val="none" w:sz="0" w:space="0" w:color="auto"/>
                                                        <w:left w:val="none" w:sz="0" w:space="0" w:color="auto"/>
                                                        <w:bottom w:val="none" w:sz="0" w:space="0" w:color="auto"/>
                                                        <w:right w:val="none" w:sz="0" w:space="0" w:color="auto"/>
                                                      </w:divBdr>
                                                    </w:div>
                                                    <w:div w:id="1246188229">
                                                      <w:marLeft w:val="0"/>
                                                      <w:marRight w:val="0"/>
                                                      <w:marTop w:val="0"/>
                                                      <w:marBottom w:val="0"/>
                                                      <w:divBdr>
                                                        <w:top w:val="none" w:sz="0" w:space="0" w:color="auto"/>
                                                        <w:left w:val="none" w:sz="0" w:space="0" w:color="auto"/>
                                                        <w:bottom w:val="none" w:sz="0" w:space="0" w:color="auto"/>
                                                        <w:right w:val="none" w:sz="0" w:space="0" w:color="auto"/>
                                                      </w:divBdr>
                                                    </w:div>
                                                    <w:div w:id="1259942842">
                                                      <w:marLeft w:val="0"/>
                                                      <w:marRight w:val="0"/>
                                                      <w:marTop w:val="0"/>
                                                      <w:marBottom w:val="0"/>
                                                      <w:divBdr>
                                                        <w:top w:val="none" w:sz="0" w:space="0" w:color="auto"/>
                                                        <w:left w:val="none" w:sz="0" w:space="0" w:color="auto"/>
                                                        <w:bottom w:val="none" w:sz="0" w:space="0" w:color="auto"/>
                                                        <w:right w:val="none" w:sz="0" w:space="0" w:color="auto"/>
                                                      </w:divBdr>
                                                    </w:div>
                                                    <w:div w:id="1444151411">
                                                      <w:marLeft w:val="0"/>
                                                      <w:marRight w:val="0"/>
                                                      <w:marTop w:val="0"/>
                                                      <w:marBottom w:val="0"/>
                                                      <w:divBdr>
                                                        <w:top w:val="none" w:sz="0" w:space="0" w:color="auto"/>
                                                        <w:left w:val="none" w:sz="0" w:space="0" w:color="auto"/>
                                                        <w:bottom w:val="none" w:sz="0" w:space="0" w:color="auto"/>
                                                        <w:right w:val="none" w:sz="0" w:space="0" w:color="auto"/>
                                                      </w:divBdr>
                                                    </w:div>
                                                    <w:div w:id="174117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459218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file/6071,3.1_KSUA%203000(Z)_3436_1107.pdf"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gov.pl/web/rozwoj-technologia/rzadowy-program-pomocy-przedsiebiorcomenergochlonnym" TargetMode="External"/><Relationship Id="rId4" Type="http://schemas.openxmlformats.org/officeDocument/2006/relationships/settings" Target="settings.xml"/><Relationship Id="rId9" Type="http://schemas.openxmlformats.org/officeDocument/2006/relationships/hyperlink" Target="https://www.pibr.org.pl/assets/meta/4353,3436.%20Uchwa%C5%82a%20ws.%20KSWZ%202019-04-05%20final.pdf"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gov.pl/web/rozwoj-technologia/pomoc-dla-przemyslu-energochlonnego-zwiazana-z-cenami-gazu-ziemnego-i-energii-elektrycznej-w-2023-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259C4C-ED71-46F6-B90F-1130703062CB}">
  <ds:schemaRefs>
    <ds:schemaRef ds:uri="http://schemas.openxmlformats.org/officeDocument/2006/bibliography"/>
  </ds:schemaRefs>
</ds:datastoreItem>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Properties xmlns="http://schemas.openxmlformats.org/officeDocument/2006/extended-properties" xmlns:vt="http://schemas.openxmlformats.org/officeDocument/2006/docPropsVTypes">
  <Template>Normal</Template>
  <TotalTime>42</TotalTime>
  <Pages>16</Pages>
  <Words>6426</Words>
  <Characters>38561</Characters>
  <Application>Microsoft Office Word</Application>
  <DocSecurity>0</DocSecurity>
  <Lines>321</Lines>
  <Paragraphs>89</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Mariusz Kalita</dc:creator>
  <cp:keywords/>
  <dc:description/>
  <cp:lastModifiedBy>Katarzyna Korycka</cp:lastModifiedBy>
  <cp:revision>9</cp:revision>
  <cp:lastPrinted>2020-12-09T12:33:00Z</cp:lastPrinted>
  <dcterms:created xsi:type="dcterms:W3CDTF">2023-10-28T05:35:00Z</dcterms:created>
  <dcterms:modified xsi:type="dcterms:W3CDTF">2023-10-28T10:31:00Z</dcterms:modified>
</cp:coreProperties>
</file>